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C6E3E" w14:textId="7B6A60CC" w:rsidR="00AC69E1" w:rsidRDefault="00AC69E1" w:rsidP="002D4A37">
      <w:pPr>
        <w:ind w:left="7788"/>
        <w:jc w:val="both"/>
        <w:rPr>
          <w:rFonts w:ascii="Poppins" w:hAnsi="Poppins" w:cs="Poppins"/>
          <w:b/>
          <w:bCs/>
          <w:sz w:val="20"/>
          <w:szCs w:val="20"/>
        </w:rPr>
      </w:pPr>
      <w:r>
        <w:rPr>
          <w:rFonts w:ascii="Poppins" w:hAnsi="Poppins" w:cs="Poppins"/>
          <w:b/>
          <w:bCs/>
          <w:sz w:val="20"/>
          <w:szCs w:val="20"/>
        </w:rPr>
        <w:t xml:space="preserve">Warszawa, </w:t>
      </w:r>
      <w:r w:rsidR="001308AD">
        <w:rPr>
          <w:rFonts w:ascii="Poppins" w:hAnsi="Poppins" w:cs="Poppins"/>
          <w:b/>
          <w:bCs/>
          <w:sz w:val="20"/>
          <w:szCs w:val="20"/>
        </w:rPr>
        <w:t>13</w:t>
      </w:r>
      <w:r>
        <w:rPr>
          <w:rFonts w:ascii="Poppins" w:hAnsi="Poppins" w:cs="Poppins"/>
          <w:b/>
          <w:bCs/>
          <w:sz w:val="20"/>
          <w:szCs w:val="20"/>
        </w:rPr>
        <w:t>.</w:t>
      </w:r>
      <w:r w:rsidR="00F67456">
        <w:rPr>
          <w:rFonts w:ascii="Poppins" w:hAnsi="Poppins" w:cs="Poppins"/>
          <w:b/>
          <w:bCs/>
          <w:sz w:val="20"/>
          <w:szCs w:val="20"/>
        </w:rPr>
        <w:t>0</w:t>
      </w:r>
      <w:r w:rsidR="001308AD">
        <w:rPr>
          <w:rFonts w:ascii="Poppins" w:hAnsi="Poppins" w:cs="Poppins"/>
          <w:b/>
          <w:bCs/>
          <w:sz w:val="20"/>
          <w:szCs w:val="20"/>
        </w:rPr>
        <w:t>3</w:t>
      </w:r>
      <w:r>
        <w:rPr>
          <w:rFonts w:ascii="Poppins" w:hAnsi="Poppins" w:cs="Poppins"/>
          <w:b/>
          <w:bCs/>
          <w:sz w:val="20"/>
          <w:szCs w:val="20"/>
        </w:rPr>
        <w:t>.202</w:t>
      </w:r>
      <w:r w:rsidR="00F67456">
        <w:rPr>
          <w:rFonts w:ascii="Poppins" w:hAnsi="Poppins" w:cs="Poppins"/>
          <w:b/>
          <w:bCs/>
          <w:sz w:val="20"/>
          <w:szCs w:val="20"/>
        </w:rPr>
        <w:t>5</w:t>
      </w:r>
      <w:r>
        <w:rPr>
          <w:rFonts w:ascii="Poppins" w:hAnsi="Poppins" w:cs="Poppins"/>
          <w:b/>
          <w:bCs/>
          <w:sz w:val="20"/>
          <w:szCs w:val="20"/>
        </w:rPr>
        <w:t xml:space="preserve"> r.</w:t>
      </w:r>
    </w:p>
    <w:p w14:paraId="427E1844" w14:textId="230EA869" w:rsidR="00AC69E1" w:rsidRDefault="00AC69E1" w:rsidP="002D4A37">
      <w:pPr>
        <w:jc w:val="both"/>
        <w:rPr>
          <w:rFonts w:ascii="Poppins" w:hAnsi="Poppins" w:cs="Poppins"/>
          <w:b/>
          <w:bCs/>
          <w:sz w:val="20"/>
          <w:szCs w:val="20"/>
        </w:rPr>
      </w:pPr>
      <w:r w:rsidRPr="00765947">
        <w:rPr>
          <w:rFonts w:ascii="Poppins" w:hAnsi="Poppins" w:cs="Poppins"/>
          <w:b/>
          <w:bCs/>
          <w:sz w:val="20"/>
          <w:szCs w:val="20"/>
        </w:rPr>
        <w:t>Autor: Marek Wielgo, ekspert portal</w:t>
      </w:r>
      <w:r w:rsidR="002D057C">
        <w:rPr>
          <w:rFonts w:ascii="Poppins" w:hAnsi="Poppins" w:cs="Poppins"/>
          <w:b/>
          <w:bCs/>
          <w:sz w:val="20"/>
          <w:szCs w:val="20"/>
        </w:rPr>
        <w:t>u</w:t>
      </w:r>
      <w:r w:rsidRPr="00765947">
        <w:rPr>
          <w:rFonts w:ascii="Poppins" w:hAnsi="Poppins" w:cs="Poppins"/>
          <w:b/>
          <w:bCs/>
          <w:sz w:val="20"/>
          <w:szCs w:val="20"/>
        </w:rPr>
        <w:t xml:space="preserve"> RynekPierwotny.pl</w:t>
      </w:r>
    </w:p>
    <w:p w14:paraId="54ECDEF9" w14:textId="7260006B" w:rsidR="00703553" w:rsidRPr="00703553" w:rsidRDefault="00703553" w:rsidP="002D4A37">
      <w:pPr>
        <w:pStyle w:val="Tretekstu"/>
        <w:jc w:val="center"/>
        <w:rPr>
          <w:rFonts w:ascii="Poppins" w:eastAsia="Calibri" w:hAnsi="Poppins" w:cs="Poppins"/>
          <w:b/>
          <w:sz w:val="44"/>
          <w:szCs w:val="44"/>
        </w:rPr>
      </w:pPr>
      <w:r w:rsidRPr="00703553">
        <w:rPr>
          <w:rFonts w:ascii="Poppins" w:eastAsia="Calibri" w:hAnsi="Poppins" w:cs="Poppins"/>
          <w:b/>
          <w:sz w:val="44"/>
          <w:szCs w:val="44"/>
        </w:rPr>
        <w:t>Powrót boomu mieszkaniowego za rogatkami największych miast</w:t>
      </w:r>
      <w:r>
        <w:rPr>
          <w:rFonts w:ascii="Poppins" w:eastAsia="Calibri" w:hAnsi="Poppins" w:cs="Poppins"/>
          <w:b/>
          <w:sz w:val="44"/>
          <w:szCs w:val="44"/>
        </w:rPr>
        <w:t>!</w:t>
      </w:r>
    </w:p>
    <w:p w14:paraId="1B47B3F7" w14:textId="09E88F98" w:rsidR="006032B8" w:rsidRPr="00470129" w:rsidRDefault="006032B8" w:rsidP="002D4A37">
      <w:pPr>
        <w:jc w:val="both"/>
        <w:rPr>
          <w:rFonts w:ascii="Poppins" w:hAnsi="Poppins" w:cs="Poppins"/>
          <w:b/>
          <w:bCs/>
          <w:sz w:val="21"/>
          <w:szCs w:val="21"/>
        </w:rPr>
      </w:pPr>
      <w:r w:rsidRPr="00470129">
        <w:rPr>
          <w:rFonts w:ascii="Poppins" w:hAnsi="Poppins" w:cs="Poppins"/>
          <w:b/>
          <w:bCs/>
          <w:sz w:val="21"/>
          <w:szCs w:val="21"/>
        </w:rPr>
        <w:t xml:space="preserve">W 2024 r. wzrosła podaż nowych mieszkań nie tylko w metropoliach, ale także w otaczających je miejscowościach. Eksperci portalu RynekPierwotny.pl sprawdzili, ile </w:t>
      </w:r>
      <w:r w:rsidR="0012239A" w:rsidRPr="00470129">
        <w:rPr>
          <w:rFonts w:ascii="Poppins" w:hAnsi="Poppins" w:cs="Poppins"/>
          <w:b/>
          <w:bCs/>
          <w:sz w:val="21"/>
          <w:szCs w:val="21"/>
        </w:rPr>
        <w:t>koszt</w:t>
      </w:r>
      <w:r w:rsidR="008E0FC1" w:rsidRPr="00470129">
        <w:rPr>
          <w:rFonts w:ascii="Poppins" w:hAnsi="Poppins" w:cs="Poppins"/>
          <w:b/>
          <w:bCs/>
          <w:sz w:val="21"/>
          <w:szCs w:val="21"/>
        </w:rPr>
        <w:t xml:space="preserve">ują </w:t>
      </w:r>
      <w:r w:rsidR="0012239A" w:rsidRPr="00470129">
        <w:rPr>
          <w:rFonts w:ascii="Poppins" w:hAnsi="Poppins" w:cs="Poppins"/>
          <w:b/>
          <w:bCs/>
          <w:sz w:val="21"/>
          <w:szCs w:val="21"/>
        </w:rPr>
        <w:t xml:space="preserve">tam </w:t>
      </w:r>
      <w:r w:rsidR="00703553" w:rsidRPr="00470129">
        <w:rPr>
          <w:rFonts w:ascii="Poppins" w:hAnsi="Poppins" w:cs="Poppins"/>
          <w:b/>
          <w:bCs/>
          <w:sz w:val="21"/>
          <w:szCs w:val="21"/>
        </w:rPr>
        <w:t xml:space="preserve">oferowane przez deweloperów </w:t>
      </w:r>
      <w:r w:rsidR="0012239A" w:rsidRPr="00470129">
        <w:rPr>
          <w:rFonts w:ascii="Poppins" w:hAnsi="Poppins" w:cs="Poppins"/>
          <w:b/>
          <w:bCs/>
          <w:sz w:val="21"/>
          <w:szCs w:val="21"/>
        </w:rPr>
        <w:t xml:space="preserve">mieszkania </w:t>
      </w:r>
      <w:r w:rsidR="002D1870" w:rsidRPr="00470129">
        <w:rPr>
          <w:rFonts w:ascii="Poppins" w:hAnsi="Poppins" w:cs="Poppins"/>
          <w:b/>
          <w:bCs/>
          <w:sz w:val="21"/>
          <w:szCs w:val="21"/>
        </w:rPr>
        <w:t xml:space="preserve">i </w:t>
      </w:r>
      <w:r w:rsidRPr="00470129">
        <w:rPr>
          <w:rFonts w:ascii="Poppins" w:hAnsi="Poppins" w:cs="Poppins"/>
          <w:b/>
          <w:bCs/>
          <w:sz w:val="21"/>
          <w:szCs w:val="21"/>
        </w:rPr>
        <w:t xml:space="preserve">czy </w:t>
      </w:r>
      <w:r w:rsidR="008E0FC1" w:rsidRPr="00470129">
        <w:rPr>
          <w:rFonts w:ascii="Poppins" w:hAnsi="Poppins" w:cs="Poppins"/>
          <w:b/>
          <w:bCs/>
          <w:sz w:val="21"/>
          <w:szCs w:val="21"/>
        </w:rPr>
        <w:t xml:space="preserve">są </w:t>
      </w:r>
      <w:r w:rsidRPr="00470129">
        <w:rPr>
          <w:rFonts w:ascii="Poppins" w:hAnsi="Poppins" w:cs="Poppins"/>
          <w:b/>
          <w:bCs/>
          <w:sz w:val="21"/>
          <w:szCs w:val="21"/>
        </w:rPr>
        <w:t>na nie chętni</w:t>
      </w:r>
      <w:r w:rsidR="002D1870" w:rsidRPr="00470129">
        <w:rPr>
          <w:rFonts w:ascii="Poppins" w:hAnsi="Poppins" w:cs="Poppins"/>
          <w:b/>
          <w:bCs/>
          <w:sz w:val="21"/>
          <w:szCs w:val="21"/>
        </w:rPr>
        <w:t>.</w:t>
      </w:r>
    </w:p>
    <w:p w14:paraId="4F538CFF" w14:textId="53630B5D" w:rsidR="002D4A37" w:rsidRPr="00470129" w:rsidRDefault="007D39F9" w:rsidP="002D4A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hAnsi="Poppins" w:cs="Poppins"/>
          <w:sz w:val="21"/>
          <w:szCs w:val="21"/>
          <w:lang w:eastAsia="pl-PL"/>
        </w:rPr>
      </w:pPr>
      <w:r w:rsidRPr="00470129">
        <w:rPr>
          <w:rFonts w:ascii="Poppins" w:hAnsi="Poppins" w:cs="Poppins"/>
          <w:sz w:val="21"/>
          <w:szCs w:val="21"/>
        </w:rPr>
        <w:t xml:space="preserve">- </w:t>
      </w:r>
      <w:r w:rsidR="0012239A" w:rsidRPr="00470129">
        <w:rPr>
          <w:rFonts w:ascii="Poppins" w:hAnsi="Poppins" w:cs="Poppins"/>
          <w:i/>
          <w:iCs/>
          <w:sz w:val="21"/>
          <w:szCs w:val="21"/>
        </w:rPr>
        <w:t xml:space="preserve">Jeszcze </w:t>
      </w:r>
      <w:r w:rsidRPr="00470129">
        <w:rPr>
          <w:rFonts w:ascii="Poppins" w:hAnsi="Poppins" w:cs="Poppins"/>
          <w:i/>
          <w:iCs/>
          <w:sz w:val="21"/>
          <w:szCs w:val="21"/>
        </w:rPr>
        <w:t xml:space="preserve">10 lat temu </w:t>
      </w:r>
      <w:r w:rsidR="002D4A37" w:rsidRPr="00470129">
        <w:rPr>
          <w:rFonts w:ascii="Poppins" w:hAnsi="Poppins" w:cs="Poppins"/>
          <w:i/>
          <w:iCs/>
          <w:sz w:val="21"/>
          <w:szCs w:val="21"/>
        </w:rPr>
        <w:t xml:space="preserve">na sześć największych miast przypadało </w:t>
      </w:r>
      <w:r w:rsidRPr="00470129">
        <w:rPr>
          <w:rFonts w:ascii="Poppins" w:hAnsi="Poppins" w:cs="Poppins"/>
          <w:i/>
          <w:iCs/>
          <w:sz w:val="21"/>
          <w:szCs w:val="21"/>
        </w:rPr>
        <w:t xml:space="preserve">aż </w:t>
      </w:r>
      <w:r w:rsidR="002D4A37" w:rsidRPr="00470129">
        <w:rPr>
          <w:rFonts w:ascii="Poppins" w:hAnsi="Poppins" w:cs="Poppins"/>
          <w:i/>
          <w:iCs/>
          <w:sz w:val="21"/>
          <w:szCs w:val="21"/>
        </w:rPr>
        <w:t>60%</w:t>
      </w:r>
      <w:r w:rsidRPr="00470129">
        <w:rPr>
          <w:rFonts w:ascii="Poppins" w:hAnsi="Poppins" w:cs="Poppins"/>
          <w:i/>
          <w:iCs/>
          <w:sz w:val="21"/>
          <w:szCs w:val="21"/>
        </w:rPr>
        <w:t xml:space="preserve"> mieszkań rozpoczętych przez deweloperów </w:t>
      </w:r>
      <w:r w:rsidR="002D4A37" w:rsidRPr="00470129">
        <w:rPr>
          <w:rFonts w:ascii="Poppins" w:hAnsi="Poppins" w:cs="Poppins"/>
          <w:i/>
          <w:iCs/>
          <w:sz w:val="21"/>
          <w:szCs w:val="21"/>
        </w:rPr>
        <w:t>w całym kraju</w:t>
      </w:r>
      <w:r w:rsidRPr="00470129">
        <w:rPr>
          <w:rFonts w:ascii="Poppins" w:hAnsi="Poppins" w:cs="Poppins"/>
          <w:i/>
          <w:iCs/>
          <w:sz w:val="21"/>
          <w:szCs w:val="21"/>
        </w:rPr>
        <w:t xml:space="preserve">. </w:t>
      </w:r>
      <w:r w:rsidR="002D4A37" w:rsidRPr="00470129">
        <w:rPr>
          <w:rFonts w:ascii="Poppins" w:hAnsi="Poppins" w:cs="Poppins"/>
          <w:i/>
          <w:iCs/>
          <w:sz w:val="21"/>
          <w:szCs w:val="21"/>
        </w:rPr>
        <w:t xml:space="preserve">Przez ten czas </w:t>
      </w:r>
      <w:r w:rsidR="0012239A" w:rsidRPr="00470129">
        <w:rPr>
          <w:rFonts w:ascii="Poppins" w:hAnsi="Poppins" w:cs="Poppins"/>
          <w:i/>
          <w:iCs/>
          <w:sz w:val="21"/>
          <w:szCs w:val="21"/>
        </w:rPr>
        <w:t xml:space="preserve">sytuacja </w:t>
      </w:r>
      <w:r w:rsidR="002D4A37" w:rsidRPr="00470129">
        <w:rPr>
          <w:rFonts w:ascii="Poppins" w:hAnsi="Poppins" w:cs="Poppins"/>
          <w:i/>
          <w:iCs/>
          <w:sz w:val="21"/>
          <w:szCs w:val="21"/>
        </w:rPr>
        <w:t xml:space="preserve">diametralnie </w:t>
      </w:r>
      <w:r w:rsidRPr="00470129">
        <w:rPr>
          <w:rFonts w:ascii="Poppins" w:hAnsi="Poppins" w:cs="Poppins"/>
          <w:i/>
          <w:iCs/>
          <w:sz w:val="21"/>
          <w:szCs w:val="21"/>
        </w:rPr>
        <w:t xml:space="preserve">się </w:t>
      </w:r>
      <w:r w:rsidR="0012239A" w:rsidRPr="00470129">
        <w:rPr>
          <w:rFonts w:ascii="Poppins" w:hAnsi="Poppins" w:cs="Poppins"/>
          <w:i/>
          <w:iCs/>
          <w:sz w:val="21"/>
          <w:szCs w:val="21"/>
        </w:rPr>
        <w:t xml:space="preserve">jednak </w:t>
      </w:r>
      <w:r w:rsidRPr="00470129">
        <w:rPr>
          <w:rFonts w:ascii="Poppins" w:hAnsi="Poppins" w:cs="Poppins"/>
          <w:i/>
          <w:iCs/>
          <w:sz w:val="21"/>
          <w:szCs w:val="21"/>
        </w:rPr>
        <w:t>zmienił</w:t>
      </w:r>
      <w:r w:rsidR="0012239A" w:rsidRPr="00470129">
        <w:rPr>
          <w:rFonts w:ascii="Poppins" w:hAnsi="Poppins" w:cs="Poppins"/>
          <w:i/>
          <w:iCs/>
          <w:sz w:val="21"/>
          <w:szCs w:val="21"/>
        </w:rPr>
        <w:t>a</w:t>
      </w:r>
      <w:r w:rsidRPr="00470129">
        <w:rPr>
          <w:rFonts w:ascii="Poppins" w:hAnsi="Poppins" w:cs="Poppins"/>
          <w:i/>
          <w:iCs/>
          <w:sz w:val="21"/>
          <w:szCs w:val="21"/>
        </w:rPr>
        <w:t>. W</w:t>
      </w:r>
      <w:r w:rsidR="002D4A37" w:rsidRPr="00470129">
        <w:rPr>
          <w:rFonts w:ascii="Poppins" w:hAnsi="Poppins" w:cs="Poppins"/>
          <w:i/>
          <w:iCs/>
          <w:sz w:val="21"/>
          <w:szCs w:val="21"/>
        </w:rPr>
        <w:t>edług GUS, w</w:t>
      </w:r>
      <w:r w:rsidRPr="00470129">
        <w:rPr>
          <w:rFonts w:ascii="Poppins" w:hAnsi="Poppins" w:cs="Poppins"/>
          <w:i/>
          <w:iCs/>
          <w:sz w:val="21"/>
          <w:szCs w:val="21"/>
        </w:rPr>
        <w:t xml:space="preserve"> ubiegłym roku </w:t>
      </w:r>
      <w:r w:rsidR="002D4A37" w:rsidRPr="00470129">
        <w:rPr>
          <w:rFonts w:ascii="Poppins" w:hAnsi="Poppins" w:cs="Poppins"/>
          <w:i/>
          <w:iCs/>
          <w:sz w:val="21"/>
          <w:szCs w:val="21"/>
        </w:rPr>
        <w:t xml:space="preserve">udział </w:t>
      </w:r>
      <w:r w:rsidR="0012239A" w:rsidRPr="00470129">
        <w:rPr>
          <w:rFonts w:ascii="Poppins" w:hAnsi="Poppins" w:cs="Poppins"/>
          <w:i/>
          <w:iCs/>
          <w:sz w:val="21"/>
          <w:szCs w:val="21"/>
        </w:rPr>
        <w:t xml:space="preserve">metropolii </w:t>
      </w:r>
      <w:r w:rsidR="002D4A37" w:rsidRPr="00470129">
        <w:rPr>
          <w:rFonts w:ascii="Poppins" w:hAnsi="Poppins" w:cs="Poppins"/>
          <w:i/>
          <w:iCs/>
          <w:sz w:val="21"/>
          <w:szCs w:val="21"/>
        </w:rPr>
        <w:t>w budownictwie deweloperskim skurczył się do 33%</w:t>
      </w:r>
      <w:r w:rsidR="002D4A37" w:rsidRPr="00470129">
        <w:rPr>
          <w:rFonts w:ascii="Poppins" w:hAnsi="Poppins" w:cs="Poppins"/>
          <w:sz w:val="21"/>
          <w:szCs w:val="21"/>
        </w:rPr>
        <w:t xml:space="preserve"> - mówi </w:t>
      </w:r>
      <w:r w:rsidR="002D4A37" w:rsidRPr="00470129">
        <w:rPr>
          <w:rFonts w:ascii="Poppins" w:hAnsi="Poppins" w:cs="Poppins"/>
          <w:sz w:val="21"/>
          <w:szCs w:val="21"/>
          <w:lang w:eastAsia="pl-PL"/>
        </w:rPr>
        <w:t xml:space="preserve">Marek Wielgo, ekspert portalu </w:t>
      </w:r>
      <w:hyperlink r:id="rId8" w:history="1">
        <w:r w:rsidR="002D4A37" w:rsidRPr="00470129">
          <w:rPr>
            <w:rStyle w:val="Hipercze"/>
            <w:rFonts w:ascii="Poppins" w:hAnsi="Poppins" w:cs="Poppins"/>
            <w:sz w:val="21"/>
            <w:szCs w:val="21"/>
            <w:lang w:eastAsia="pl-PL"/>
          </w:rPr>
          <w:t>RynekPierwotny.pl.</w:t>
        </w:r>
      </w:hyperlink>
    </w:p>
    <w:p w14:paraId="60DF5D8B" w14:textId="0146C31A" w:rsidR="002D4A37" w:rsidRPr="00470129" w:rsidRDefault="00926F5C" w:rsidP="002D4A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hAnsi="Poppins" w:cs="Poppins"/>
          <w:sz w:val="21"/>
          <w:szCs w:val="21"/>
        </w:rPr>
      </w:pPr>
      <w:r w:rsidRPr="00470129">
        <w:rPr>
          <w:rFonts w:ascii="Poppins" w:hAnsi="Poppins" w:cs="Poppins"/>
          <w:sz w:val="21"/>
          <w:szCs w:val="21"/>
        </w:rPr>
        <w:t>P</w:t>
      </w:r>
      <w:r w:rsidR="002D4A37" w:rsidRPr="00470129">
        <w:rPr>
          <w:rFonts w:ascii="Poppins" w:hAnsi="Poppins" w:cs="Poppins"/>
          <w:sz w:val="21"/>
          <w:szCs w:val="21"/>
        </w:rPr>
        <w:t>rzypomina</w:t>
      </w:r>
      <w:r w:rsidR="00950B32" w:rsidRPr="00470129">
        <w:rPr>
          <w:rFonts w:ascii="Poppins" w:hAnsi="Poppins" w:cs="Poppins"/>
          <w:sz w:val="21"/>
          <w:szCs w:val="21"/>
        </w:rPr>
        <w:t xml:space="preserve">, że początek obecnej dekady przyniósł </w:t>
      </w:r>
      <w:r w:rsidR="007B7DCE" w:rsidRPr="00470129">
        <w:rPr>
          <w:rFonts w:ascii="Poppins" w:hAnsi="Poppins" w:cs="Poppins"/>
          <w:sz w:val="21"/>
          <w:szCs w:val="21"/>
        </w:rPr>
        <w:t xml:space="preserve">wyraźną </w:t>
      </w:r>
      <w:r w:rsidR="002D4A37" w:rsidRPr="00470129">
        <w:rPr>
          <w:rFonts w:ascii="Poppins" w:hAnsi="Poppins" w:cs="Poppins"/>
          <w:sz w:val="21"/>
          <w:szCs w:val="21"/>
        </w:rPr>
        <w:t xml:space="preserve">zmianę preferencji kupujących </w:t>
      </w:r>
      <w:r w:rsidR="00950B32" w:rsidRPr="00470129">
        <w:rPr>
          <w:rFonts w:ascii="Poppins" w:hAnsi="Poppins" w:cs="Poppins"/>
          <w:sz w:val="21"/>
          <w:szCs w:val="21"/>
        </w:rPr>
        <w:t xml:space="preserve">nowe </w:t>
      </w:r>
      <w:r w:rsidR="002D4A37" w:rsidRPr="00470129">
        <w:rPr>
          <w:rFonts w:ascii="Poppins" w:hAnsi="Poppins" w:cs="Poppins"/>
          <w:sz w:val="21"/>
          <w:szCs w:val="21"/>
        </w:rPr>
        <w:t>mieszkania</w:t>
      </w:r>
      <w:r w:rsidR="00950B32" w:rsidRPr="00470129">
        <w:rPr>
          <w:rFonts w:ascii="Poppins" w:hAnsi="Poppins" w:cs="Poppins"/>
          <w:sz w:val="21"/>
          <w:szCs w:val="21"/>
        </w:rPr>
        <w:t xml:space="preserve"> i domy</w:t>
      </w:r>
      <w:r w:rsidR="002D4A37" w:rsidRPr="00470129">
        <w:rPr>
          <w:rFonts w:ascii="Poppins" w:hAnsi="Poppins" w:cs="Poppins"/>
          <w:sz w:val="21"/>
          <w:szCs w:val="21"/>
        </w:rPr>
        <w:t>, a w efekcie boom budowlany w wielu powiatowych miasteczkach</w:t>
      </w:r>
      <w:r w:rsidR="00950B32" w:rsidRPr="00470129">
        <w:rPr>
          <w:rFonts w:ascii="Poppins" w:hAnsi="Poppins" w:cs="Poppins"/>
          <w:sz w:val="21"/>
          <w:szCs w:val="21"/>
        </w:rPr>
        <w:t xml:space="preserve">. </w:t>
      </w:r>
      <w:r w:rsidR="0012239A" w:rsidRPr="00470129">
        <w:rPr>
          <w:rFonts w:ascii="Poppins" w:hAnsi="Poppins" w:cs="Poppins"/>
          <w:sz w:val="21"/>
          <w:szCs w:val="21"/>
        </w:rPr>
        <w:t>P</w:t>
      </w:r>
      <w:r w:rsidR="00950B32" w:rsidRPr="00470129">
        <w:rPr>
          <w:rFonts w:ascii="Poppins" w:hAnsi="Poppins" w:cs="Poppins"/>
          <w:sz w:val="21"/>
          <w:szCs w:val="21"/>
        </w:rPr>
        <w:t xml:space="preserve">rzyczyniła się do tego </w:t>
      </w:r>
      <w:r w:rsidR="008E0FC1" w:rsidRPr="00470129">
        <w:rPr>
          <w:rFonts w:ascii="Poppins" w:hAnsi="Poppins" w:cs="Poppins"/>
          <w:sz w:val="21"/>
          <w:szCs w:val="21"/>
        </w:rPr>
        <w:t xml:space="preserve">w dużym stopniu </w:t>
      </w:r>
      <w:r w:rsidR="00950B32" w:rsidRPr="00470129">
        <w:rPr>
          <w:rFonts w:ascii="Poppins" w:hAnsi="Poppins" w:cs="Poppins"/>
          <w:sz w:val="21"/>
          <w:szCs w:val="21"/>
        </w:rPr>
        <w:t>pandemia COVID-19</w:t>
      </w:r>
      <w:r w:rsidR="0012239A" w:rsidRPr="00470129">
        <w:rPr>
          <w:rFonts w:ascii="Poppins" w:hAnsi="Poppins" w:cs="Poppins"/>
          <w:sz w:val="21"/>
          <w:szCs w:val="21"/>
        </w:rPr>
        <w:t>, która wymusiła pracę zdalną</w:t>
      </w:r>
      <w:r w:rsidR="00950B32" w:rsidRPr="00470129">
        <w:rPr>
          <w:rFonts w:ascii="Poppins" w:hAnsi="Poppins" w:cs="Poppins"/>
          <w:sz w:val="21"/>
          <w:szCs w:val="21"/>
        </w:rPr>
        <w:t xml:space="preserve">. Jednak kluczowe znaczenie mają ceny mieszkań. W największych miastach stały się </w:t>
      </w:r>
      <w:r w:rsidR="008E0FC1" w:rsidRPr="00470129">
        <w:rPr>
          <w:rFonts w:ascii="Poppins" w:hAnsi="Poppins" w:cs="Poppins"/>
          <w:sz w:val="21"/>
          <w:szCs w:val="21"/>
        </w:rPr>
        <w:t xml:space="preserve">one </w:t>
      </w:r>
      <w:r w:rsidR="00950B32" w:rsidRPr="00470129">
        <w:rPr>
          <w:rFonts w:ascii="Poppins" w:hAnsi="Poppins" w:cs="Poppins"/>
          <w:sz w:val="21"/>
          <w:szCs w:val="21"/>
        </w:rPr>
        <w:t>zbyt drogie dla wielu potencjalnych nabywców.</w:t>
      </w:r>
    </w:p>
    <w:p w14:paraId="27BB0844" w14:textId="73FF11E2" w:rsidR="003E7A11" w:rsidRPr="00470129" w:rsidRDefault="00926F5C" w:rsidP="0047012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Poppins" w:hAnsi="Poppins" w:cs="Poppins"/>
          <w:sz w:val="21"/>
          <w:szCs w:val="21"/>
        </w:rPr>
      </w:pPr>
      <w:r w:rsidRPr="00470129">
        <w:rPr>
          <w:rFonts w:ascii="Poppins" w:hAnsi="Poppins" w:cs="Poppins"/>
          <w:noProof/>
          <w:sz w:val="21"/>
          <w:szCs w:val="21"/>
        </w:rPr>
        <w:drawing>
          <wp:inline distT="0" distB="0" distL="0" distR="0" wp14:anchorId="29C4F21C" wp14:editId="6940BCBD">
            <wp:extent cx="5648325" cy="3085909"/>
            <wp:effectExtent l="0" t="0" r="0" b="635"/>
            <wp:docPr id="147302554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021" cy="3089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6217D" w14:textId="473E5D62" w:rsidR="007B7DCE" w:rsidRPr="00470129" w:rsidRDefault="007B7DCE" w:rsidP="002D4A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hAnsi="Poppins" w:cs="Poppins"/>
          <w:sz w:val="21"/>
          <w:szCs w:val="21"/>
        </w:rPr>
      </w:pPr>
      <w:r w:rsidRPr="00470129">
        <w:rPr>
          <w:rFonts w:ascii="Poppins" w:hAnsi="Poppins" w:cs="Poppins"/>
          <w:sz w:val="21"/>
          <w:szCs w:val="21"/>
        </w:rPr>
        <w:t xml:space="preserve">Lokalni deweloperzy starają się zaspokoić popyt, co widać w statystykach budowlanych GUS. W 2021 r. nastąpił wysyp rozpoczynanych inwestycji. Niestety, zapaść na rynku kredytowym w 2022 r. podcięła skrzydła wielu </w:t>
      </w:r>
      <w:r w:rsidR="008E0FC1" w:rsidRPr="00470129">
        <w:rPr>
          <w:rFonts w:ascii="Poppins" w:hAnsi="Poppins" w:cs="Poppins"/>
          <w:sz w:val="21"/>
          <w:szCs w:val="21"/>
        </w:rPr>
        <w:t>firmom</w:t>
      </w:r>
      <w:r w:rsidRPr="00470129">
        <w:rPr>
          <w:rFonts w:ascii="Poppins" w:hAnsi="Poppins" w:cs="Poppins"/>
          <w:sz w:val="21"/>
          <w:szCs w:val="21"/>
        </w:rPr>
        <w:t xml:space="preserve">. Nie wszędzie ich sytuację poprawiło pojawienie się w ofercie banków „Bezpiecznego Kredytu 2%”. </w:t>
      </w:r>
    </w:p>
    <w:p w14:paraId="51C6426F" w14:textId="348413F5" w:rsidR="007B7DCE" w:rsidRPr="00470129" w:rsidRDefault="007B7DCE" w:rsidP="002D4A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hAnsi="Poppins" w:cs="Poppins"/>
          <w:sz w:val="21"/>
          <w:szCs w:val="21"/>
        </w:rPr>
      </w:pPr>
      <w:r w:rsidRPr="00470129">
        <w:rPr>
          <w:rFonts w:ascii="Poppins" w:hAnsi="Poppins" w:cs="Poppins"/>
          <w:sz w:val="21"/>
          <w:szCs w:val="21"/>
        </w:rPr>
        <w:lastRenderedPageBreak/>
        <w:t xml:space="preserve">– </w:t>
      </w:r>
      <w:r w:rsidRPr="00470129">
        <w:rPr>
          <w:rFonts w:ascii="Poppins" w:hAnsi="Poppins" w:cs="Poppins"/>
          <w:i/>
          <w:iCs/>
          <w:sz w:val="21"/>
          <w:szCs w:val="21"/>
        </w:rPr>
        <w:t>W lokalizacjach podmiejskich mieszkania budują najczęściej małe i średnie firmy, a banki nie paliły się do finansowania ich inwestycji. Najwyraźniej podejście banków się zmieniło, bo w ubiegłym roku mogliśmy obserwować powrót boomu mieszkaniowego za rogatkami największych miast</w:t>
      </w:r>
      <w:r w:rsidRPr="00470129">
        <w:rPr>
          <w:rFonts w:ascii="Poppins" w:hAnsi="Poppins" w:cs="Poppins"/>
          <w:sz w:val="21"/>
          <w:szCs w:val="21"/>
        </w:rPr>
        <w:t xml:space="preserve"> – komentuje </w:t>
      </w:r>
      <w:r w:rsidR="00470129">
        <w:rPr>
          <w:rFonts w:ascii="Poppins" w:hAnsi="Poppins" w:cs="Poppins"/>
          <w:sz w:val="21"/>
          <w:szCs w:val="21"/>
        </w:rPr>
        <w:t>ekspert RynekPierwotny.pl</w:t>
      </w:r>
      <w:r w:rsidRPr="00470129">
        <w:rPr>
          <w:rFonts w:ascii="Poppins" w:hAnsi="Poppins" w:cs="Poppins"/>
          <w:sz w:val="21"/>
          <w:szCs w:val="21"/>
        </w:rPr>
        <w:t>.</w:t>
      </w:r>
    </w:p>
    <w:p w14:paraId="692D7916" w14:textId="03B7B3D9" w:rsidR="007B7DCE" w:rsidRPr="00470129" w:rsidRDefault="007B7DCE" w:rsidP="0047012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Poppins" w:hAnsi="Poppins" w:cs="Poppins"/>
          <w:sz w:val="21"/>
          <w:szCs w:val="21"/>
        </w:rPr>
      </w:pPr>
      <w:r w:rsidRPr="00470129">
        <w:rPr>
          <w:rFonts w:ascii="Poppins" w:hAnsi="Poppins" w:cs="Poppins"/>
          <w:noProof/>
          <w:sz w:val="21"/>
          <w:szCs w:val="21"/>
        </w:rPr>
        <w:drawing>
          <wp:inline distT="0" distB="0" distL="0" distR="0" wp14:anchorId="7BEA5E38" wp14:editId="4040228D">
            <wp:extent cx="5534025" cy="3061005"/>
            <wp:effectExtent l="0" t="0" r="0" b="6350"/>
            <wp:docPr id="969630376" name="Obraz 4" descr="Obraz zawierający tekst, zrzut ekranu, Wielobarwność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630376" name="Obraz 4" descr="Obraz zawierający tekst, zrzut ekranu, Wielobarwność, Czcionk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772" cy="3066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327AA" w14:textId="77777777" w:rsidR="00262F11" w:rsidRPr="00470129" w:rsidRDefault="007B7DCE" w:rsidP="003E7A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hAnsi="Poppins" w:cs="Poppins"/>
          <w:sz w:val="21"/>
          <w:szCs w:val="21"/>
        </w:rPr>
      </w:pPr>
      <w:r w:rsidRPr="00470129">
        <w:rPr>
          <w:rFonts w:ascii="Poppins" w:hAnsi="Poppins" w:cs="Poppins"/>
          <w:sz w:val="21"/>
          <w:szCs w:val="21"/>
        </w:rPr>
        <w:t xml:space="preserve">W okolicach </w:t>
      </w:r>
      <w:r w:rsidR="00D14074" w:rsidRPr="00470129">
        <w:rPr>
          <w:rFonts w:ascii="Poppins" w:hAnsi="Poppins" w:cs="Poppins"/>
          <w:sz w:val="21"/>
          <w:szCs w:val="21"/>
        </w:rPr>
        <w:t xml:space="preserve">Poznania (w powiecie poznańskim) </w:t>
      </w:r>
      <w:r w:rsidRPr="00470129">
        <w:rPr>
          <w:rFonts w:ascii="Poppins" w:hAnsi="Poppins" w:cs="Poppins"/>
          <w:sz w:val="21"/>
          <w:szCs w:val="21"/>
        </w:rPr>
        <w:t xml:space="preserve">liczba rozpoczętych mieszkań wzrosła </w:t>
      </w:r>
      <w:r w:rsidR="00D14074" w:rsidRPr="00470129">
        <w:rPr>
          <w:rFonts w:ascii="Poppins" w:hAnsi="Poppins" w:cs="Poppins"/>
          <w:sz w:val="21"/>
          <w:szCs w:val="21"/>
        </w:rPr>
        <w:t xml:space="preserve">aż o 70% w porównaniu z rokiem 2023, a w okolicach Warszawy – o 48%. Przy czym w miejscowościach okalających stolicę największą aktywność inwestycyjną firm deweloperskich GUS odnotował w powiatach mińskim (+207%), pruszkowskim (+115%) i warszawskim zachodnim (+61%). </w:t>
      </w:r>
    </w:p>
    <w:p w14:paraId="4E15D2F6" w14:textId="77777777" w:rsidR="00262F11" w:rsidRPr="00470129" w:rsidRDefault="00D14074" w:rsidP="003E7A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hAnsi="Poppins" w:cs="Poppins"/>
          <w:sz w:val="21"/>
          <w:szCs w:val="21"/>
        </w:rPr>
      </w:pPr>
      <w:r w:rsidRPr="00470129">
        <w:rPr>
          <w:rFonts w:ascii="Poppins" w:hAnsi="Poppins" w:cs="Poppins"/>
          <w:sz w:val="21"/>
          <w:szCs w:val="21"/>
        </w:rPr>
        <w:t xml:space="preserve">W okolicach Wrocławia najwięcej nowych mieszkań deweloperzy zaczęli budować w ubiegłym roku w powiatach średzkim (+24%) i wrocławskim (+485), w okolicach Krakowa – w powiatach </w:t>
      </w:r>
      <w:r w:rsidR="009B7A78" w:rsidRPr="00470129">
        <w:rPr>
          <w:rFonts w:ascii="Poppins" w:hAnsi="Poppins" w:cs="Poppins"/>
          <w:sz w:val="21"/>
          <w:szCs w:val="21"/>
        </w:rPr>
        <w:t xml:space="preserve">krakowskim (-2%) i wielickim (+63%), a w okolicach Łodzi – w powiatach zgierskim (+14%) i pabianickim (-9%). </w:t>
      </w:r>
    </w:p>
    <w:p w14:paraId="7692BD00" w14:textId="441B6332" w:rsidR="003E7A11" w:rsidRPr="00470129" w:rsidRDefault="009B7A78" w:rsidP="003E7A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hAnsi="Poppins" w:cs="Poppins"/>
          <w:sz w:val="21"/>
          <w:szCs w:val="21"/>
        </w:rPr>
      </w:pPr>
      <w:r w:rsidRPr="00470129">
        <w:rPr>
          <w:rFonts w:ascii="Poppins" w:hAnsi="Poppins" w:cs="Poppins"/>
          <w:sz w:val="21"/>
          <w:szCs w:val="21"/>
        </w:rPr>
        <w:t xml:space="preserve">Statystyki wskazują też </w:t>
      </w:r>
      <w:r w:rsidR="00262F11" w:rsidRPr="00470129">
        <w:rPr>
          <w:rFonts w:ascii="Poppins" w:hAnsi="Poppins" w:cs="Poppins"/>
          <w:sz w:val="21"/>
          <w:szCs w:val="21"/>
        </w:rPr>
        <w:t xml:space="preserve">jednak </w:t>
      </w:r>
      <w:r w:rsidRPr="00470129">
        <w:rPr>
          <w:rFonts w:ascii="Poppins" w:hAnsi="Poppins" w:cs="Poppins"/>
          <w:sz w:val="21"/>
          <w:szCs w:val="21"/>
        </w:rPr>
        <w:t xml:space="preserve">na spadki aktywności deweloperów w powiatach, w których budują </w:t>
      </w:r>
      <w:r w:rsidR="003E7A11" w:rsidRPr="00470129">
        <w:rPr>
          <w:rFonts w:ascii="Poppins" w:hAnsi="Poppins" w:cs="Poppins"/>
          <w:sz w:val="21"/>
          <w:szCs w:val="21"/>
        </w:rPr>
        <w:t xml:space="preserve">oni </w:t>
      </w:r>
      <w:r w:rsidRPr="00470129">
        <w:rPr>
          <w:rFonts w:ascii="Poppins" w:hAnsi="Poppins" w:cs="Poppins"/>
          <w:sz w:val="21"/>
          <w:szCs w:val="21"/>
        </w:rPr>
        <w:t xml:space="preserve">najwięcej mieszkań. Tak było w przypadku </w:t>
      </w:r>
      <w:r w:rsidR="00D14074" w:rsidRPr="00470129">
        <w:rPr>
          <w:rFonts w:ascii="Poppins" w:hAnsi="Poppins" w:cs="Poppins"/>
          <w:sz w:val="21"/>
          <w:szCs w:val="21"/>
        </w:rPr>
        <w:t>powiat</w:t>
      </w:r>
      <w:r w:rsidRPr="00470129">
        <w:rPr>
          <w:rFonts w:ascii="Poppins" w:hAnsi="Poppins" w:cs="Poppins"/>
          <w:sz w:val="21"/>
          <w:szCs w:val="21"/>
        </w:rPr>
        <w:t>ów</w:t>
      </w:r>
      <w:r w:rsidR="00D14074" w:rsidRPr="00470129">
        <w:rPr>
          <w:rFonts w:ascii="Poppins" w:hAnsi="Poppins" w:cs="Poppins"/>
          <w:sz w:val="21"/>
          <w:szCs w:val="21"/>
        </w:rPr>
        <w:t xml:space="preserve"> </w:t>
      </w:r>
      <w:r w:rsidRPr="00470129">
        <w:rPr>
          <w:rFonts w:ascii="Poppins" w:hAnsi="Poppins" w:cs="Poppins"/>
          <w:sz w:val="21"/>
          <w:szCs w:val="21"/>
        </w:rPr>
        <w:t xml:space="preserve">okalających Trójmiasto: wejherowskiego (-24%), </w:t>
      </w:r>
      <w:r w:rsidR="00D14074" w:rsidRPr="00470129">
        <w:rPr>
          <w:rFonts w:ascii="Poppins" w:hAnsi="Poppins" w:cs="Poppins"/>
          <w:sz w:val="21"/>
          <w:szCs w:val="21"/>
        </w:rPr>
        <w:t>gdański</w:t>
      </w:r>
      <w:r w:rsidRPr="00470129">
        <w:rPr>
          <w:rFonts w:ascii="Poppins" w:hAnsi="Poppins" w:cs="Poppins"/>
          <w:sz w:val="21"/>
          <w:szCs w:val="21"/>
        </w:rPr>
        <w:t xml:space="preserve">ego </w:t>
      </w:r>
      <w:r w:rsidR="00D14074" w:rsidRPr="00470129">
        <w:rPr>
          <w:rFonts w:ascii="Poppins" w:hAnsi="Poppins" w:cs="Poppins"/>
          <w:sz w:val="21"/>
          <w:szCs w:val="21"/>
        </w:rPr>
        <w:t>(-4</w:t>
      </w:r>
      <w:r w:rsidRPr="00470129">
        <w:rPr>
          <w:rFonts w:ascii="Poppins" w:hAnsi="Poppins" w:cs="Poppins"/>
          <w:sz w:val="21"/>
          <w:szCs w:val="21"/>
        </w:rPr>
        <w:t xml:space="preserve">%) i puckiego (-46%). </w:t>
      </w:r>
      <w:r w:rsidR="003E7A11" w:rsidRPr="00470129">
        <w:rPr>
          <w:rFonts w:ascii="Poppins" w:hAnsi="Poppins" w:cs="Poppins"/>
          <w:sz w:val="21"/>
          <w:szCs w:val="21"/>
        </w:rPr>
        <w:t>Na celownik firm deweloperskich trafił z</w:t>
      </w:r>
      <w:r w:rsidR="00135AB9" w:rsidRPr="00470129">
        <w:rPr>
          <w:rFonts w:ascii="Poppins" w:hAnsi="Poppins" w:cs="Poppins"/>
          <w:sz w:val="21"/>
          <w:szCs w:val="21"/>
        </w:rPr>
        <w:t xml:space="preserve">a to </w:t>
      </w:r>
      <w:r w:rsidR="003E7A11" w:rsidRPr="00470129">
        <w:rPr>
          <w:rFonts w:ascii="Poppins" w:hAnsi="Poppins" w:cs="Poppins"/>
          <w:sz w:val="21"/>
          <w:szCs w:val="21"/>
        </w:rPr>
        <w:t xml:space="preserve">powiat kartuski, </w:t>
      </w:r>
      <w:r w:rsidR="008E0FC1" w:rsidRPr="00470129">
        <w:rPr>
          <w:rFonts w:ascii="Poppins" w:hAnsi="Poppins" w:cs="Poppins"/>
          <w:sz w:val="21"/>
          <w:szCs w:val="21"/>
        </w:rPr>
        <w:t xml:space="preserve">gdzie </w:t>
      </w:r>
      <w:r w:rsidR="003E7A11" w:rsidRPr="00470129">
        <w:rPr>
          <w:rFonts w:ascii="Poppins" w:hAnsi="Poppins" w:cs="Poppins"/>
          <w:sz w:val="21"/>
          <w:szCs w:val="21"/>
        </w:rPr>
        <w:t xml:space="preserve">liczba rozpoczętych mieszkań wzrosła </w:t>
      </w:r>
      <w:r w:rsidR="00135AB9" w:rsidRPr="00470129">
        <w:rPr>
          <w:rFonts w:ascii="Poppins" w:hAnsi="Poppins" w:cs="Poppins"/>
          <w:sz w:val="21"/>
          <w:szCs w:val="21"/>
        </w:rPr>
        <w:t xml:space="preserve">z 342 do 919, czyli aż o </w:t>
      </w:r>
      <w:r w:rsidRPr="00470129">
        <w:rPr>
          <w:rFonts w:ascii="Poppins" w:hAnsi="Poppins" w:cs="Poppins"/>
          <w:sz w:val="21"/>
          <w:szCs w:val="21"/>
        </w:rPr>
        <w:t>169%</w:t>
      </w:r>
      <w:r w:rsidR="008E0FC1" w:rsidRPr="00470129">
        <w:rPr>
          <w:rFonts w:ascii="Poppins" w:hAnsi="Poppins" w:cs="Poppins"/>
          <w:sz w:val="21"/>
          <w:szCs w:val="21"/>
        </w:rPr>
        <w:t>!</w:t>
      </w:r>
    </w:p>
    <w:p w14:paraId="483E7C04" w14:textId="1584D31A" w:rsidR="00067A91" w:rsidRPr="00470129" w:rsidRDefault="003E7A11" w:rsidP="008E0FC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hAnsi="Poppins" w:cs="Poppins"/>
          <w:sz w:val="21"/>
          <w:szCs w:val="21"/>
        </w:rPr>
      </w:pPr>
      <w:r w:rsidRPr="00470129">
        <w:rPr>
          <w:rFonts w:ascii="Poppins" w:hAnsi="Poppins" w:cs="Poppins"/>
          <w:color w:val="231F20"/>
          <w:sz w:val="21"/>
          <w:szCs w:val="21"/>
          <w:shd w:val="clear" w:color="auto" w:fill="FFFFFF"/>
        </w:rPr>
        <w:t xml:space="preserve">Ekspert portalu RynekPierwotny.pl zwraca uwagę, że </w:t>
      </w:r>
      <w:r w:rsidR="00067A91" w:rsidRPr="00470129">
        <w:rPr>
          <w:rFonts w:ascii="Poppins" w:hAnsi="Poppins" w:cs="Poppins"/>
          <w:sz w:val="21"/>
          <w:szCs w:val="21"/>
        </w:rPr>
        <w:t>w lokalizacjach podmiejskich jest wciąż dużo taniej</w:t>
      </w:r>
      <w:r w:rsidR="008E0FC1" w:rsidRPr="00470129">
        <w:rPr>
          <w:rFonts w:ascii="Poppins" w:hAnsi="Poppins" w:cs="Poppins"/>
          <w:sz w:val="21"/>
          <w:szCs w:val="21"/>
        </w:rPr>
        <w:t xml:space="preserve"> niż w metropoliach</w:t>
      </w:r>
      <w:r w:rsidR="00067A91" w:rsidRPr="00470129">
        <w:rPr>
          <w:rFonts w:ascii="Poppins" w:hAnsi="Poppins" w:cs="Poppins"/>
          <w:sz w:val="21"/>
          <w:szCs w:val="21"/>
        </w:rPr>
        <w:t xml:space="preserve">. </w:t>
      </w:r>
      <w:r w:rsidR="00262F11" w:rsidRPr="00470129">
        <w:rPr>
          <w:rFonts w:ascii="Poppins" w:hAnsi="Poppins" w:cs="Poppins"/>
          <w:sz w:val="21"/>
          <w:szCs w:val="21"/>
        </w:rPr>
        <w:t>Z danych BIG DATA RynekPierwotny.pl wynika, że p</w:t>
      </w:r>
      <w:r w:rsidR="00067A91" w:rsidRPr="00470129">
        <w:rPr>
          <w:rFonts w:ascii="Poppins" w:hAnsi="Poppins" w:cs="Poppins"/>
          <w:sz w:val="21"/>
          <w:szCs w:val="21"/>
        </w:rPr>
        <w:t xml:space="preserve">od koniec </w:t>
      </w:r>
      <w:r w:rsidR="008E0FC1" w:rsidRPr="00470129">
        <w:rPr>
          <w:rFonts w:ascii="Poppins" w:hAnsi="Poppins" w:cs="Poppins"/>
          <w:sz w:val="21"/>
          <w:szCs w:val="21"/>
        </w:rPr>
        <w:t xml:space="preserve">lutego </w:t>
      </w:r>
      <w:r w:rsidR="00067A91" w:rsidRPr="00470129">
        <w:rPr>
          <w:rFonts w:ascii="Poppins" w:hAnsi="Poppins" w:cs="Poppins"/>
          <w:sz w:val="21"/>
          <w:szCs w:val="21"/>
        </w:rPr>
        <w:t>202</w:t>
      </w:r>
      <w:r w:rsidR="008E0FC1" w:rsidRPr="00470129">
        <w:rPr>
          <w:rFonts w:ascii="Poppins" w:hAnsi="Poppins" w:cs="Poppins"/>
          <w:sz w:val="21"/>
          <w:szCs w:val="21"/>
        </w:rPr>
        <w:t>5</w:t>
      </w:r>
      <w:r w:rsidR="00067A91" w:rsidRPr="00470129">
        <w:rPr>
          <w:rFonts w:ascii="Poppins" w:hAnsi="Poppins" w:cs="Poppins"/>
          <w:sz w:val="21"/>
          <w:szCs w:val="21"/>
        </w:rPr>
        <w:t xml:space="preserve"> r. średnia cena metra kwadratowego mieszkań oferowanych przez firmy deweloperskie w Warszawie wynosiła nieco ponad 17,</w:t>
      </w:r>
      <w:r w:rsidR="00460082" w:rsidRPr="00470129">
        <w:rPr>
          <w:rFonts w:ascii="Poppins" w:hAnsi="Poppins" w:cs="Poppins"/>
          <w:sz w:val="21"/>
          <w:szCs w:val="21"/>
        </w:rPr>
        <w:t>7</w:t>
      </w:r>
      <w:r w:rsidR="00067A91" w:rsidRPr="00470129">
        <w:rPr>
          <w:rFonts w:ascii="Poppins" w:hAnsi="Poppins" w:cs="Poppins"/>
          <w:sz w:val="21"/>
          <w:szCs w:val="21"/>
        </w:rPr>
        <w:t xml:space="preserve"> tys. zł, zaś </w:t>
      </w:r>
      <w:r w:rsidR="00262F11" w:rsidRPr="00470129">
        <w:rPr>
          <w:rFonts w:ascii="Poppins" w:hAnsi="Poppins" w:cs="Poppins"/>
          <w:sz w:val="21"/>
          <w:szCs w:val="21"/>
        </w:rPr>
        <w:t xml:space="preserve">pod miastem </w:t>
      </w:r>
      <w:r w:rsidR="00067A91" w:rsidRPr="00470129">
        <w:rPr>
          <w:rFonts w:ascii="Poppins" w:hAnsi="Poppins" w:cs="Poppins"/>
          <w:sz w:val="21"/>
          <w:szCs w:val="21"/>
        </w:rPr>
        <w:t>– ok. 1</w:t>
      </w:r>
      <w:r w:rsidR="00460082" w:rsidRPr="00470129">
        <w:rPr>
          <w:rFonts w:ascii="Poppins" w:hAnsi="Poppins" w:cs="Poppins"/>
          <w:sz w:val="21"/>
          <w:szCs w:val="21"/>
        </w:rPr>
        <w:t>1</w:t>
      </w:r>
      <w:r w:rsidR="00067A91" w:rsidRPr="00470129">
        <w:rPr>
          <w:rFonts w:ascii="Poppins" w:hAnsi="Poppins" w:cs="Poppins"/>
          <w:sz w:val="21"/>
          <w:szCs w:val="21"/>
        </w:rPr>
        <w:t>,</w:t>
      </w:r>
      <w:r w:rsidR="00460082" w:rsidRPr="00470129">
        <w:rPr>
          <w:rFonts w:ascii="Poppins" w:hAnsi="Poppins" w:cs="Poppins"/>
          <w:sz w:val="21"/>
          <w:szCs w:val="21"/>
        </w:rPr>
        <w:t>4</w:t>
      </w:r>
      <w:r w:rsidR="00067A91" w:rsidRPr="00470129">
        <w:rPr>
          <w:rFonts w:ascii="Poppins" w:hAnsi="Poppins" w:cs="Poppins"/>
          <w:sz w:val="21"/>
          <w:szCs w:val="21"/>
        </w:rPr>
        <w:t xml:space="preserve"> tys. zł za metr, czyli o </w:t>
      </w:r>
      <w:r w:rsidR="00460082" w:rsidRPr="00470129">
        <w:rPr>
          <w:rFonts w:ascii="Poppins" w:hAnsi="Poppins" w:cs="Poppins"/>
          <w:sz w:val="21"/>
          <w:szCs w:val="21"/>
        </w:rPr>
        <w:t xml:space="preserve">ponad jedną trzecią </w:t>
      </w:r>
      <w:r w:rsidR="00067A91" w:rsidRPr="00470129">
        <w:rPr>
          <w:rFonts w:ascii="Poppins" w:hAnsi="Poppins" w:cs="Poppins"/>
          <w:sz w:val="21"/>
          <w:szCs w:val="21"/>
        </w:rPr>
        <w:t xml:space="preserve">mniej. Podobnie było za rogatkami </w:t>
      </w:r>
      <w:r w:rsidR="00460082" w:rsidRPr="00470129">
        <w:rPr>
          <w:rFonts w:ascii="Poppins" w:hAnsi="Poppins" w:cs="Poppins"/>
          <w:sz w:val="21"/>
          <w:szCs w:val="21"/>
        </w:rPr>
        <w:t>pozostałych metropolii</w:t>
      </w:r>
      <w:r w:rsidR="00067A91" w:rsidRPr="00470129">
        <w:rPr>
          <w:rFonts w:ascii="Poppins" w:hAnsi="Poppins" w:cs="Poppins"/>
          <w:sz w:val="21"/>
          <w:szCs w:val="21"/>
        </w:rPr>
        <w:t xml:space="preserve">. Kluczowe znaczenie ma podaż i cena gruntów. W miejscowościach okalających metropolie są one po prostu </w:t>
      </w:r>
      <w:r w:rsidR="00067A91" w:rsidRPr="00470129">
        <w:rPr>
          <w:rFonts w:ascii="Poppins" w:hAnsi="Poppins" w:cs="Poppins"/>
          <w:sz w:val="21"/>
          <w:szCs w:val="21"/>
          <w:shd w:val="clear" w:color="auto" w:fill="FFFFFF"/>
        </w:rPr>
        <w:t xml:space="preserve">dużo tańsze. Ponadto dominuje tam popularny segment rynku mieszkań. W metropolii </w:t>
      </w:r>
      <w:r w:rsidR="00067A91" w:rsidRPr="00470129">
        <w:rPr>
          <w:rFonts w:ascii="Poppins" w:hAnsi="Poppins" w:cs="Poppins"/>
          <w:sz w:val="21"/>
          <w:szCs w:val="21"/>
        </w:rPr>
        <w:t xml:space="preserve">średnią cenę metra kwadratowego windują zaś bardzo drogie mieszkania w segmencie premium, wprowadzane przez deweloperów na rynek z myślą o zamożnych nabywcach. </w:t>
      </w:r>
    </w:p>
    <w:p w14:paraId="19A776A2" w14:textId="2AF28FBF" w:rsidR="00460082" w:rsidRPr="00470129" w:rsidRDefault="00460082" w:rsidP="0047012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Poppins" w:hAnsi="Poppins" w:cs="Poppins"/>
          <w:sz w:val="21"/>
          <w:szCs w:val="21"/>
        </w:rPr>
      </w:pPr>
      <w:r w:rsidRPr="00470129">
        <w:rPr>
          <w:rFonts w:ascii="Poppins" w:hAnsi="Poppins" w:cs="Poppins"/>
          <w:noProof/>
          <w:sz w:val="21"/>
          <w:szCs w:val="21"/>
        </w:rPr>
        <w:lastRenderedPageBreak/>
        <w:drawing>
          <wp:inline distT="0" distB="0" distL="0" distR="0" wp14:anchorId="6EC51444" wp14:editId="083DAE01">
            <wp:extent cx="5324475" cy="2944079"/>
            <wp:effectExtent l="0" t="0" r="0" b="8890"/>
            <wp:docPr id="105216977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209" cy="2948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041EF" w14:textId="77777777" w:rsidR="00DA32E9" w:rsidRPr="00470129" w:rsidRDefault="00067A91" w:rsidP="00262F11">
      <w:pPr>
        <w:jc w:val="both"/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</w:pPr>
      <w:r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>Oczywiście zarówno w obrębie miasta, jak i jego aglomeracji ceny mieszkań są bardzo zróżnicowane. Przy</w:t>
      </w:r>
      <w:r w:rsidRPr="00470129">
        <w:rPr>
          <w:rFonts w:ascii="Poppins" w:hAnsi="Poppins" w:cs="Poppins"/>
          <w:color w:val="000000"/>
          <w:sz w:val="21"/>
          <w:szCs w:val="21"/>
          <w:shd w:val="clear" w:color="auto" w:fill="FFFFFF"/>
        </w:rPr>
        <w:t>kładowo w Śródmieściu Warszawy średnia cen mieszkań oferowanych przez deweloperów to ponad 4</w:t>
      </w:r>
      <w:r w:rsidR="00460082" w:rsidRPr="00470129">
        <w:rPr>
          <w:rFonts w:ascii="Poppins" w:hAnsi="Poppins" w:cs="Poppins"/>
          <w:color w:val="000000"/>
          <w:sz w:val="21"/>
          <w:szCs w:val="21"/>
          <w:shd w:val="clear" w:color="auto" w:fill="FFFFFF"/>
        </w:rPr>
        <w:t>2</w:t>
      </w:r>
      <w:r w:rsidRPr="00470129">
        <w:rPr>
          <w:rFonts w:ascii="Poppins" w:hAnsi="Poppins" w:cs="Poppins"/>
          <w:color w:val="000000"/>
          <w:sz w:val="21"/>
          <w:szCs w:val="21"/>
          <w:shd w:val="clear" w:color="auto" w:fill="FFFFFF"/>
        </w:rPr>
        <w:t xml:space="preserve"> tys. zł za metr kwadratowy. Natomiast na obrzeżach miasta</w:t>
      </w:r>
      <w:r w:rsidRPr="00470129">
        <w:rPr>
          <w:rFonts w:ascii="Poppins" w:hAnsi="Poppins" w:cs="Poppins"/>
          <w:sz w:val="21"/>
          <w:szCs w:val="21"/>
        </w:rPr>
        <w:t xml:space="preserve">, głównie </w:t>
      </w:r>
      <w:r w:rsidRPr="00470129">
        <w:rPr>
          <w:rFonts w:ascii="Poppins" w:hAnsi="Poppins" w:cs="Poppins"/>
          <w:color w:val="000000"/>
          <w:sz w:val="21"/>
          <w:szCs w:val="21"/>
          <w:shd w:val="clear" w:color="auto" w:fill="FFFFFF"/>
        </w:rPr>
        <w:t>w takich dzielnicach jak Wesoła, Rembertów, Wawer czy Białołęka, metr kwadratowy nowego mieszkania kosztuje średnio mniej niż 14 tys. zł. Z kolei w o</w:t>
      </w:r>
      <w:r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 xml:space="preserve">kolicach Warszawy można znaleźć nowe mieszkania średnio poniżej 8 tys. zł (np. w Górze Kalwarii) czy ok. 10 tys. zł (np. w </w:t>
      </w:r>
      <w:r w:rsidR="00460082"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 xml:space="preserve">miejscowości </w:t>
      </w:r>
      <w:r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>Błoni</w:t>
      </w:r>
      <w:r w:rsidR="00460082"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>e</w:t>
      </w:r>
      <w:r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>) za metr kwadratowy, ale też i takie, które kosztują średnio 11</w:t>
      </w:r>
      <w:r w:rsidR="00460082"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>,5</w:t>
      </w:r>
      <w:r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>-1</w:t>
      </w:r>
      <w:r w:rsidR="00460082"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>2,5</w:t>
      </w:r>
      <w:r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 xml:space="preserve"> tys. zł (w Mińsku Mazowieckim</w:t>
      </w:r>
      <w:r w:rsidR="00DA32E9"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>, Legionowie, Piasecznie), a nawet ponad 15 zł za metr (w</w:t>
      </w:r>
      <w:r w:rsidRPr="00470129"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  <w:t xml:space="preserve"> Pruszkowie).</w:t>
      </w:r>
    </w:p>
    <w:p w14:paraId="26387694" w14:textId="20714210" w:rsidR="00470129" w:rsidRPr="00470129" w:rsidRDefault="00470129" w:rsidP="00470129">
      <w:pPr>
        <w:jc w:val="center"/>
        <w:rPr>
          <w:rStyle w:val="Pogrubienie"/>
          <w:rFonts w:ascii="Poppins" w:hAnsi="Poppins" w:cs="Poppins"/>
          <w:b w:val="0"/>
          <w:bCs w:val="0"/>
          <w:color w:val="231F20"/>
          <w:sz w:val="21"/>
          <w:szCs w:val="21"/>
          <w:bdr w:val="none" w:sz="0" w:space="0" w:color="auto" w:frame="1"/>
          <w:shd w:val="clear" w:color="auto" w:fill="FFFFFF"/>
        </w:rPr>
      </w:pPr>
      <w:r w:rsidRPr="00470129">
        <w:rPr>
          <w:rFonts w:ascii="Poppins" w:hAnsi="Poppins" w:cs="Poppins"/>
          <w:noProof/>
          <w:sz w:val="21"/>
          <w:szCs w:val="21"/>
        </w:rPr>
        <w:drawing>
          <wp:inline distT="0" distB="0" distL="0" distR="0" wp14:anchorId="340014B7" wp14:editId="49FE6A48">
            <wp:extent cx="5505450" cy="3049933"/>
            <wp:effectExtent l="0" t="0" r="0" b="0"/>
            <wp:docPr id="816076172" name="Obraz 2" descr="Obraz zawierający tekst, zrzut ekranu, diagram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076172" name="Obraz 2" descr="Obraz zawierający tekst, zrzut ekranu, diagram, Czcion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100" cy="305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E02B9" w14:textId="37CB3622" w:rsidR="006D5B07" w:rsidRPr="00470129" w:rsidRDefault="00262F11" w:rsidP="00470129">
      <w:pPr>
        <w:jc w:val="both"/>
        <w:rPr>
          <w:rFonts w:ascii="Poppins" w:hAnsi="Poppins" w:cs="Poppins"/>
          <w:sz w:val="21"/>
          <w:szCs w:val="21"/>
        </w:rPr>
      </w:pPr>
      <w:r w:rsidRPr="00470129">
        <w:rPr>
          <w:rFonts w:ascii="Poppins" w:hAnsi="Poppins" w:cs="Poppins"/>
          <w:sz w:val="21"/>
          <w:szCs w:val="21"/>
        </w:rPr>
        <w:t xml:space="preserve">Podmiejskie lokalizacje mają też jedną słabość – to wciąż niewielki na tle metropolii wybór mieszkań. W okolicach Warszawy było pod koniec </w:t>
      </w:r>
      <w:r w:rsidR="00DA32E9" w:rsidRPr="00470129">
        <w:rPr>
          <w:rFonts w:ascii="Poppins" w:hAnsi="Poppins" w:cs="Poppins"/>
          <w:sz w:val="21"/>
          <w:szCs w:val="21"/>
        </w:rPr>
        <w:t xml:space="preserve">lutego </w:t>
      </w:r>
      <w:r w:rsidRPr="00470129">
        <w:rPr>
          <w:rFonts w:ascii="Poppins" w:hAnsi="Poppins" w:cs="Poppins"/>
          <w:sz w:val="21"/>
          <w:szCs w:val="21"/>
        </w:rPr>
        <w:t>w ofercie deweloperów ok. 4,</w:t>
      </w:r>
      <w:r w:rsidR="00DA32E9" w:rsidRPr="00470129">
        <w:rPr>
          <w:rFonts w:ascii="Poppins" w:hAnsi="Poppins" w:cs="Poppins"/>
          <w:sz w:val="21"/>
          <w:szCs w:val="21"/>
        </w:rPr>
        <w:t>9</w:t>
      </w:r>
      <w:r w:rsidRPr="00470129">
        <w:rPr>
          <w:rFonts w:ascii="Poppins" w:hAnsi="Poppins" w:cs="Poppins"/>
          <w:sz w:val="21"/>
          <w:szCs w:val="21"/>
        </w:rPr>
        <w:t xml:space="preserve"> tys. lokali. Dla porównania w samym mieście – blisko 1</w:t>
      </w:r>
      <w:r w:rsidR="00DA32E9" w:rsidRPr="00470129">
        <w:rPr>
          <w:rFonts w:ascii="Poppins" w:hAnsi="Poppins" w:cs="Poppins"/>
          <w:sz w:val="21"/>
          <w:szCs w:val="21"/>
        </w:rPr>
        <w:t>6</w:t>
      </w:r>
      <w:r w:rsidRPr="00470129">
        <w:rPr>
          <w:rFonts w:ascii="Poppins" w:hAnsi="Poppins" w:cs="Poppins"/>
          <w:sz w:val="21"/>
          <w:szCs w:val="21"/>
        </w:rPr>
        <w:t>,</w:t>
      </w:r>
      <w:r w:rsidR="00DA32E9" w:rsidRPr="00470129">
        <w:rPr>
          <w:rFonts w:ascii="Poppins" w:hAnsi="Poppins" w:cs="Poppins"/>
          <w:sz w:val="21"/>
          <w:szCs w:val="21"/>
        </w:rPr>
        <w:t>2</w:t>
      </w:r>
      <w:r w:rsidRPr="00470129">
        <w:rPr>
          <w:rFonts w:ascii="Poppins" w:hAnsi="Poppins" w:cs="Poppins"/>
          <w:sz w:val="21"/>
          <w:szCs w:val="21"/>
        </w:rPr>
        <w:t xml:space="preserve"> tys., czyli przeszło trzy razy więcej. </w:t>
      </w:r>
    </w:p>
    <w:p w14:paraId="525E66D3" w14:textId="405A4206" w:rsidR="00262F11" w:rsidRPr="00470129" w:rsidRDefault="00703411" w:rsidP="00262F11">
      <w:pPr>
        <w:jc w:val="both"/>
        <w:rPr>
          <w:rFonts w:ascii="Poppins" w:hAnsi="Poppins" w:cs="Poppins"/>
          <w:sz w:val="21"/>
          <w:szCs w:val="21"/>
          <w:shd w:val="clear" w:color="auto" w:fill="FFFFFF"/>
        </w:rPr>
      </w:pPr>
      <w:r>
        <w:rPr>
          <w:rFonts w:ascii="Poppins" w:hAnsi="Poppins" w:cs="Poppins"/>
          <w:sz w:val="21"/>
          <w:szCs w:val="21"/>
        </w:rPr>
        <w:lastRenderedPageBreak/>
        <w:t>W</w:t>
      </w:r>
      <w:r w:rsidR="00262F11" w:rsidRPr="00470129">
        <w:rPr>
          <w:rFonts w:ascii="Poppins" w:hAnsi="Poppins" w:cs="Poppins"/>
          <w:sz w:val="21"/>
          <w:szCs w:val="21"/>
        </w:rPr>
        <w:t xml:space="preserve"> najbliższych latach </w:t>
      </w:r>
      <w:r>
        <w:rPr>
          <w:rFonts w:ascii="Poppins" w:hAnsi="Poppins" w:cs="Poppins"/>
          <w:sz w:val="21"/>
          <w:szCs w:val="21"/>
        </w:rPr>
        <w:t xml:space="preserve">z pewnością </w:t>
      </w:r>
      <w:r w:rsidR="00262F11" w:rsidRPr="00470129">
        <w:rPr>
          <w:rFonts w:ascii="Poppins" w:hAnsi="Poppins" w:cs="Poppins"/>
          <w:sz w:val="21"/>
          <w:szCs w:val="21"/>
        </w:rPr>
        <w:t>lokalizacje podmiejskie będą zyskiwały na popularności.</w:t>
      </w:r>
      <w:r w:rsidR="00262F11" w:rsidRPr="00470129">
        <w:rPr>
          <w:rFonts w:ascii="Poppins" w:hAnsi="Poppins" w:cs="Poppins"/>
          <w:sz w:val="21"/>
          <w:szCs w:val="21"/>
          <w:shd w:val="clear" w:color="auto" w:fill="FFFFFF"/>
        </w:rPr>
        <w:t xml:space="preserve"> Przykładem może być powiat miński</w:t>
      </w:r>
      <w:r w:rsidR="00981B7C" w:rsidRPr="00470129">
        <w:rPr>
          <w:rFonts w:ascii="Poppins" w:hAnsi="Poppins" w:cs="Poppins"/>
          <w:sz w:val="21"/>
          <w:szCs w:val="21"/>
          <w:shd w:val="clear" w:color="auto" w:fill="FFFFFF"/>
        </w:rPr>
        <w:t xml:space="preserve"> w okolicach Warszawy, gdzie jeszcze 10 lat temu budownictwo deweloperskie praktycznie nie istniało. </w:t>
      </w:r>
      <w:r w:rsidR="00A621BB" w:rsidRPr="00470129">
        <w:rPr>
          <w:rFonts w:ascii="Poppins" w:hAnsi="Poppins" w:cs="Poppins"/>
          <w:sz w:val="21"/>
          <w:szCs w:val="21"/>
          <w:shd w:val="clear" w:color="auto" w:fill="FFFFFF"/>
        </w:rPr>
        <w:t xml:space="preserve">Odkąd miejscowości </w:t>
      </w:r>
      <w:r w:rsidR="00D04FE6" w:rsidRPr="00470129">
        <w:rPr>
          <w:rFonts w:ascii="Poppins" w:hAnsi="Poppins" w:cs="Poppins"/>
          <w:sz w:val="21"/>
          <w:szCs w:val="21"/>
          <w:shd w:val="clear" w:color="auto" w:fill="FFFFFF"/>
        </w:rPr>
        <w:t xml:space="preserve">znajdujące się </w:t>
      </w:r>
      <w:r w:rsidR="00A621BB" w:rsidRPr="00470129">
        <w:rPr>
          <w:rFonts w:ascii="Poppins" w:hAnsi="Poppins" w:cs="Poppins"/>
          <w:sz w:val="21"/>
          <w:szCs w:val="21"/>
          <w:shd w:val="clear" w:color="auto" w:fill="FFFFFF"/>
        </w:rPr>
        <w:t xml:space="preserve">w tym powiecie łączy z Warszawą nie tylko kolej podmiejska, ale i autostrada, nowe osiedla powstają jak grzyby po deszczu.  W ubiegłym roku deweloperzy rozpoczęli </w:t>
      </w:r>
      <w:r w:rsidR="00D04FE6" w:rsidRPr="00470129">
        <w:rPr>
          <w:rFonts w:ascii="Poppins" w:hAnsi="Poppins" w:cs="Poppins"/>
          <w:sz w:val="21"/>
          <w:szCs w:val="21"/>
          <w:shd w:val="clear" w:color="auto" w:fill="FFFFFF"/>
        </w:rPr>
        <w:t xml:space="preserve">tu </w:t>
      </w:r>
      <w:r w:rsidR="00A621BB" w:rsidRPr="00470129">
        <w:rPr>
          <w:rFonts w:ascii="Poppins" w:hAnsi="Poppins" w:cs="Poppins"/>
          <w:sz w:val="21"/>
          <w:szCs w:val="21"/>
          <w:shd w:val="clear" w:color="auto" w:fill="FFFFFF"/>
        </w:rPr>
        <w:t xml:space="preserve">budowę </w:t>
      </w:r>
      <w:r w:rsidR="00D04FE6" w:rsidRPr="00470129">
        <w:rPr>
          <w:rFonts w:ascii="Poppins" w:hAnsi="Poppins" w:cs="Poppins"/>
          <w:sz w:val="21"/>
          <w:szCs w:val="21"/>
          <w:shd w:val="clear" w:color="auto" w:fill="FFFFFF"/>
        </w:rPr>
        <w:t>rekordowej liczby mieszkań (</w:t>
      </w:r>
      <w:r w:rsidR="00A621BB" w:rsidRPr="00470129">
        <w:rPr>
          <w:rFonts w:ascii="Poppins" w:hAnsi="Poppins" w:cs="Poppins"/>
          <w:sz w:val="21"/>
          <w:szCs w:val="21"/>
          <w:shd w:val="clear" w:color="auto" w:fill="FFFFFF"/>
        </w:rPr>
        <w:t>blisko tysiąc</w:t>
      </w:r>
      <w:r w:rsidR="00D04FE6" w:rsidRPr="00470129">
        <w:rPr>
          <w:rFonts w:ascii="Poppins" w:hAnsi="Poppins" w:cs="Poppins"/>
          <w:sz w:val="21"/>
          <w:szCs w:val="21"/>
          <w:shd w:val="clear" w:color="auto" w:fill="FFFFFF"/>
        </w:rPr>
        <w:t>)</w:t>
      </w:r>
      <w:r w:rsidR="00A621BB" w:rsidRPr="00470129">
        <w:rPr>
          <w:rFonts w:ascii="Poppins" w:hAnsi="Poppins" w:cs="Poppins"/>
          <w:sz w:val="21"/>
          <w:szCs w:val="21"/>
          <w:shd w:val="clear" w:color="auto" w:fill="FFFFFF"/>
        </w:rPr>
        <w:t>.</w:t>
      </w:r>
    </w:p>
    <w:sectPr w:rsidR="00262F11" w:rsidRPr="00470129" w:rsidSect="001C65EA">
      <w:headerReference w:type="default" r:id="rId13"/>
      <w:pgSz w:w="11906" w:h="16838"/>
      <w:pgMar w:top="720" w:right="720" w:bottom="720" w:left="720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E1B54" w14:textId="77777777" w:rsidR="00BF1EDA" w:rsidRDefault="00BF1EDA" w:rsidP="00E533BD">
      <w:pPr>
        <w:spacing w:after="0" w:line="240" w:lineRule="auto"/>
      </w:pPr>
      <w:r>
        <w:separator/>
      </w:r>
    </w:p>
  </w:endnote>
  <w:endnote w:type="continuationSeparator" w:id="0">
    <w:p w14:paraId="76C46653" w14:textId="77777777" w:rsidR="00BF1EDA" w:rsidRDefault="00BF1EDA" w:rsidP="00E5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1483A" w14:textId="77777777" w:rsidR="00BF1EDA" w:rsidRDefault="00BF1EDA" w:rsidP="00E533BD">
      <w:pPr>
        <w:spacing w:after="0" w:line="240" w:lineRule="auto"/>
      </w:pPr>
      <w:r>
        <w:separator/>
      </w:r>
    </w:p>
  </w:footnote>
  <w:footnote w:type="continuationSeparator" w:id="0">
    <w:p w14:paraId="27A301D9" w14:textId="77777777" w:rsidR="00BF1EDA" w:rsidRDefault="00BF1EDA" w:rsidP="00E5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F483D" w14:textId="31C0457E" w:rsidR="00E533BD" w:rsidRDefault="00DA7D8F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49997B" wp14:editId="064C2B69">
          <wp:simplePos x="0" y="0"/>
          <wp:positionH relativeFrom="page">
            <wp:posOffset>28575</wp:posOffset>
          </wp:positionH>
          <wp:positionV relativeFrom="paragraph">
            <wp:posOffset>-624205</wp:posOffset>
          </wp:positionV>
          <wp:extent cx="7496810" cy="1033145"/>
          <wp:effectExtent l="0" t="0" r="0" b="0"/>
          <wp:wrapThrough wrapText="bothSides">
            <wp:wrapPolygon edited="0">
              <wp:start x="1427" y="4779"/>
              <wp:lineTo x="1153" y="6771"/>
              <wp:lineTo x="878" y="9559"/>
              <wp:lineTo x="933" y="15533"/>
              <wp:lineTo x="9331" y="18321"/>
              <wp:lineTo x="19211" y="19117"/>
              <wp:lineTo x="20693" y="19117"/>
              <wp:lineTo x="20693" y="18321"/>
              <wp:lineTo x="18717" y="11948"/>
              <wp:lineTo x="18826" y="8364"/>
              <wp:lineTo x="16302" y="7567"/>
              <wp:lineTo x="1921" y="4779"/>
              <wp:lineTo x="1427" y="4779"/>
            </wp:wrapPolygon>
          </wp:wrapThrough>
          <wp:docPr id="344518657" name="Grafika 3445186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7" r="7"/>
                  <a:stretch>
                    <a:fillRect/>
                  </a:stretch>
                </pic:blipFill>
                <pic:spPr>
                  <a:xfrm>
                    <a:off x="0" y="0"/>
                    <a:ext cx="7496810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306C">
      <w:ptab w:relativeTo="margin" w:alignment="center" w:leader="none"/>
    </w:r>
    <w:r w:rsidR="00FB7A20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32F6"/>
    <w:multiLevelType w:val="hybridMultilevel"/>
    <w:tmpl w:val="8B5E1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84B6B"/>
    <w:multiLevelType w:val="hybridMultilevel"/>
    <w:tmpl w:val="50A42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47B3"/>
    <w:multiLevelType w:val="hybridMultilevel"/>
    <w:tmpl w:val="B94E57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26AD3"/>
    <w:multiLevelType w:val="hybridMultilevel"/>
    <w:tmpl w:val="E5B6F8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80627"/>
    <w:multiLevelType w:val="hybridMultilevel"/>
    <w:tmpl w:val="05386E3A"/>
    <w:lvl w:ilvl="0" w:tplc="E164621A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54D1B"/>
    <w:multiLevelType w:val="hybridMultilevel"/>
    <w:tmpl w:val="7B481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52262"/>
    <w:multiLevelType w:val="hybridMultilevel"/>
    <w:tmpl w:val="A9B64E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250DA"/>
    <w:multiLevelType w:val="hybridMultilevel"/>
    <w:tmpl w:val="F6F6F3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C628B"/>
    <w:multiLevelType w:val="hybridMultilevel"/>
    <w:tmpl w:val="56B00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34C4A"/>
    <w:multiLevelType w:val="hybridMultilevel"/>
    <w:tmpl w:val="5BBEDB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959DD"/>
    <w:multiLevelType w:val="hybridMultilevel"/>
    <w:tmpl w:val="78C46C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94B54"/>
    <w:multiLevelType w:val="hybridMultilevel"/>
    <w:tmpl w:val="58BC9F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650F0"/>
    <w:multiLevelType w:val="hybridMultilevel"/>
    <w:tmpl w:val="B4E2D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355305">
    <w:abstractNumId w:val="5"/>
  </w:num>
  <w:num w:numId="2" w16cid:durableId="555049282">
    <w:abstractNumId w:val="0"/>
  </w:num>
  <w:num w:numId="3" w16cid:durableId="1982610543">
    <w:abstractNumId w:val="2"/>
  </w:num>
  <w:num w:numId="4" w16cid:durableId="1022822128">
    <w:abstractNumId w:val="1"/>
  </w:num>
  <w:num w:numId="5" w16cid:durableId="1641381131">
    <w:abstractNumId w:val="3"/>
  </w:num>
  <w:num w:numId="6" w16cid:durableId="1967351203">
    <w:abstractNumId w:val="6"/>
  </w:num>
  <w:num w:numId="7" w16cid:durableId="1589997633">
    <w:abstractNumId w:val="7"/>
  </w:num>
  <w:num w:numId="8" w16cid:durableId="1244800905">
    <w:abstractNumId w:val="10"/>
  </w:num>
  <w:num w:numId="9" w16cid:durableId="1512571355">
    <w:abstractNumId w:val="11"/>
  </w:num>
  <w:num w:numId="10" w16cid:durableId="1442261822">
    <w:abstractNumId w:val="8"/>
  </w:num>
  <w:num w:numId="11" w16cid:durableId="20450140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0198495">
    <w:abstractNumId w:val="9"/>
  </w:num>
  <w:num w:numId="13" w16cid:durableId="1786191774">
    <w:abstractNumId w:val="4"/>
  </w:num>
  <w:num w:numId="14" w16cid:durableId="7849248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3BD"/>
    <w:rsid w:val="00000700"/>
    <w:rsid w:val="00001863"/>
    <w:rsid w:val="000024F7"/>
    <w:rsid w:val="000061D9"/>
    <w:rsid w:val="000064B4"/>
    <w:rsid w:val="00007107"/>
    <w:rsid w:val="00010FEA"/>
    <w:rsid w:val="0001321E"/>
    <w:rsid w:val="00015274"/>
    <w:rsid w:val="00016290"/>
    <w:rsid w:val="000255B0"/>
    <w:rsid w:val="000311F2"/>
    <w:rsid w:val="00044139"/>
    <w:rsid w:val="00045687"/>
    <w:rsid w:val="0005474E"/>
    <w:rsid w:val="00056E3E"/>
    <w:rsid w:val="00057F54"/>
    <w:rsid w:val="00062ED1"/>
    <w:rsid w:val="00064DEF"/>
    <w:rsid w:val="00067A91"/>
    <w:rsid w:val="00070677"/>
    <w:rsid w:val="00075299"/>
    <w:rsid w:val="00075310"/>
    <w:rsid w:val="0007784C"/>
    <w:rsid w:val="00080FF6"/>
    <w:rsid w:val="00081ECD"/>
    <w:rsid w:val="000867F4"/>
    <w:rsid w:val="00086CA5"/>
    <w:rsid w:val="00087149"/>
    <w:rsid w:val="000911B9"/>
    <w:rsid w:val="000A2552"/>
    <w:rsid w:val="000A25EC"/>
    <w:rsid w:val="000A581F"/>
    <w:rsid w:val="000A6618"/>
    <w:rsid w:val="000B0DCB"/>
    <w:rsid w:val="000B0FC0"/>
    <w:rsid w:val="000B2F75"/>
    <w:rsid w:val="000B34CA"/>
    <w:rsid w:val="000B3992"/>
    <w:rsid w:val="000B41F2"/>
    <w:rsid w:val="000B616E"/>
    <w:rsid w:val="000C1C14"/>
    <w:rsid w:val="000C2C30"/>
    <w:rsid w:val="000C43DB"/>
    <w:rsid w:val="000C497D"/>
    <w:rsid w:val="000D0E2C"/>
    <w:rsid w:val="000D639E"/>
    <w:rsid w:val="000D7339"/>
    <w:rsid w:val="000E4139"/>
    <w:rsid w:val="000E427E"/>
    <w:rsid w:val="000F0B92"/>
    <w:rsid w:val="000F2327"/>
    <w:rsid w:val="000F2A84"/>
    <w:rsid w:val="000F546E"/>
    <w:rsid w:val="000F58ED"/>
    <w:rsid w:val="001003CF"/>
    <w:rsid w:val="00106C6C"/>
    <w:rsid w:val="00110FD3"/>
    <w:rsid w:val="00114871"/>
    <w:rsid w:val="0011606C"/>
    <w:rsid w:val="001175D2"/>
    <w:rsid w:val="00117BB8"/>
    <w:rsid w:val="001219B8"/>
    <w:rsid w:val="0012239A"/>
    <w:rsid w:val="0012484B"/>
    <w:rsid w:val="001275C6"/>
    <w:rsid w:val="001308AD"/>
    <w:rsid w:val="0013157C"/>
    <w:rsid w:val="00132788"/>
    <w:rsid w:val="001328B9"/>
    <w:rsid w:val="001346BB"/>
    <w:rsid w:val="00135AB9"/>
    <w:rsid w:val="0015024A"/>
    <w:rsid w:val="00151E7A"/>
    <w:rsid w:val="001520CE"/>
    <w:rsid w:val="00156218"/>
    <w:rsid w:val="00156998"/>
    <w:rsid w:val="00157703"/>
    <w:rsid w:val="00157E64"/>
    <w:rsid w:val="00160B41"/>
    <w:rsid w:val="0017068C"/>
    <w:rsid w:val="001707F3"/>
    <w:rsid w:val="001717DE"/>
    <w:rsid w:val="00171955"/>
    <w:rsid w:val="00173526"/>
    <w:rsid w:val="00176DE5"/>
    <w:rsid w:val="001817C9"/>
    <w:rsid w:val="00182A25"/>
    <w:rsid w:val="00182F7C"/>
    <w:rsid w:val="0018306C"/>
    <w:rsid w:val="00193531"/>
    <w:rsid w:val="00194693"/>
    <w:rsid w:val="001B0617"/>
    <w:rsid w:val="001B62E6"/>
    <w:rsid w:val="001B73A7"/>
    <w:rsid w:val="001C3248"/>
    <w:rsid w:val="001C65EA"/>
    <w:rsid w:val="001C726B"/>
    <w:rsid w:val="001D3C49"/>
    <w:rsid w:val="001D7997"/>
    <w:rsid w:val="001E19C9"/>
    <w:rsid w:val="001E1FBC"/>
    <w:rsid w:val="001E46F6"/>
    <w:rsid w:val="001E4A1E"/>
    <w:rsid w:val="001E5DFD"/>
    <w:rsid w:val="001F548C"/>
    <w:rsid w:val="001F72F7"/>
    <w:rsid w:val="001F73F3"/>
    <w:rsid w:val="00203307"/>
    <w:rsid w:val="00206E2D"/>
    <w:rsid w:val="00212682"/>
    <w:rsid w:val="00222F6F"/>
    <w:rsid w:val="00223547"/>
    <w:rsid w:val="00223F5E"/>
    <w:rsid w:val="002339D8"/>
    <w:rsid w:val="00236BFB"/>
    <w:rsid w:val="00240AAA"/>
    <w:rsid w:val="00241EC9"/>
    <w:rsid w:val="002425A7"/>
    <w:rsid w:val="00244376"/>
    <w:rsid w:val="00244823"/>
    <w:rsid w:val="0025393F"/>
    <w:rsid w:val="00253B29"/>
    <w:rsid w:val="002543AF"/>
    <w:rsid w:val="00254DE4"/>
    <w:rsid w:val="00255849"/>
    <w:rsid w:val="00262F11"/>
    <w:rsid w:val="00263B68"/>
    <w:rsid w:val="0026404D"/>
    <w:rsid w:val="00266D99"/>
    <w:rsid w:val="0027120F"/>
    <w:rsid w:val="00272496"/>
    <w:rsid w:val="00272F48"/>
    <w:rsid w:val="00280CF7"/>
    <w:rsid w:val="00286BC4"/>
    <w:rsid w:val="00290153"/>
    <w:rsid w:val="002905DA"/>
    <w:rsid w:val="00293F01"/>
    <w:rsid w:val="002A1AE3"/>
    <w:rsid w:val="002A2E77"/>
    <w:rsid w:val="002A3A10"/>
    <w:rsid w:val="002A5C18"/>
    <w:rsid w:val="002C3A0A"/>
    <w:rsid w:val="002C7452"/>
    <w:rsid w:val="002D057C"/>
    <w:rsid w:val="002D1870"/>
    <w:rsid w:val="002D1A73"/>
    <w:rsid w:val="002D244C"/>
    <w:rsid w:val="002D40D5"/>
    <w:rsid w:val="002D4A37"/>
    <w:rsid w:val="002D7839"/>
    <w:rsid w:val="002E6753"/>
    <w:rsid w:val="002E7076"/>
    <w:rsid w:val="002F7F71"/>
    <w:rsid w:val="003007CB"/>
    <w:rsid w:val="00302AF8"/>
    <w:rsid w:val="0030376C"/>
    <w:rsid w:val="00304648"/>
    <w:rsid w:val="00307D5F"/>
    <w:rsid w:val="00315F51"/>
    <w:rsid w:val="00317554"/>
    <w:rsid w:val="00331728"/>
    <w:rsid w:val="003323CD"/>
    <w:rsid w:val="00335BD1"/>
    <w:rsid w:val="00335D76"/>
    <w:rsid w:val="00340605"/>
    <w:rsid w:val="003434DA"/>
    <w:rsid w:val="00347F32"/>
    <w:rsid w:val="003632CC"/>
    <w:rsid w:val="003663FF"/>
    <w:rsid w:val="00367682"/>
    <w:rsid w:val="003676AC"/>
    <w:rsid w:val="00377A19"/>
    <w:rsid w:val="00377A5C"/>
    <w:rsid w:val="00377F82"/>
    <w:rsid w:val="003801D9"/>
    <w:rsid w:val="0038348E"/>
    <w:rsid w:val="003841BC"/>
    <w:rsid w:val="00393222"/>
    <w:rsid w:val="00396407"/>
    <w:rsid w:val="00397C40"/>
    <w:rsid w:val="003A126F"/>
    <w:rsid w:val="003A5160"/>
    <w:rsid w:val="003A556B"/>
    <w:rsid w:val="003A748B"/>
    <w:rsid w:val="003A753E"/>
    <w:rsid w:val="003B2075"/>
    <w:rsid w:val="003B4D48"/>
    <w:rsid w:val="003B7B22"/>
    <w:rsid w:val="003C6041"/>
    <w:rsid w:val="003C6FBF"/>
    <w:rsid w:val="003C74F0"/>
    <w:rsid w:val="003C7C2D"/>
    <w:rsid w:val="003D28BE"/>
    <w:rsid w:val="003D6527"/>
    <w:rsid w:val="003E7A11"/>
    <w:rsid w:val="003F1D43"/>
    <w:rsid w:val="003F4D95"/>
    <w:rsid w:val="004069F6"/>
    <w:rsid w:val="00410562"/>
    <w:rsid w:val="00414F41"/>
    <w:rsid w:val="004240DF"/>
    <w:rsid w:val="00430A77"/>
    <w:rsid w:val="00433EAC"/>
    <w:rsid w:val="00442968"/>
    <w:rsid w:val="00442EBD"/>
    <w:rsid w:val="00445E56"/>
    <w:rsid w:val="00446F40"/>
    <w:rsid w:val="00447A69"/>
    <w:rsid w:val="0045420A"/>
    <w:rsid w:val="00457AC2"/>
    <w:rsid w:val="00460082"/>
    <w:rsid w:val="004647DF"/>
    <w:rsid w:val="00470129"/>
    <w:rsid w:val="00473987"/>
    <w:rsid w:val="0047596C"/>
    <w:rsid w:val="00481A01"/>
    <w:rsid w:val="00481F49"/>
    <w:rsid w:val="00496B22"/>
    <w:rsid w:val="00497BDA"/>
    <w:rsid w:val="004A55E0"/>
    <w:rsid w:val="004B13A7"/>
    <w:rsid w:val="004B34BB"/>
    <w:rsid w:val="004B4F76"/>
    <w:rsid w:val="004C2F47"/>
    <w:rsid w:val="004C4395"/>
    <w:rsid w:val="004C741A"/>
    <w:rsid w:val="004C777B"/>
    <w:rsid w:val="004D2F22"/>
    <w:rsid w:val="004D4C3C"/>
    <w:rsid w:val="004D6F30"/>
    <w:rsid w:val="004E74DB"/>
    <w:rsid w:val="004F65C3"/>
    <w:rsid w:val="004F791A"/>
    <w:rsid w:val="00502828"/>
    <w:rsid w:val="00502CBC"/>
    <w:rsid w:val="00504683"/>
    <w:rsid w:val="00504701"/>
    <w:rsid w:val="0050728D"/>
    <w:rsid w:val="00507867"/>
    <w:rsid w:val="00507B27"/>
    <w:rsid w:val="005109AE"/>
    <w:rsid w:val="0051474C"/>
    <w:rsid w:val="00526B02"/>
    <w:rsid w:val="0053121A"/>
    <w:rsid w:val="005329D7"/>
    <w:rsid w:val="00532B40"/>
    <w:rsid w:val="00537732"/>
    <w:rsid w:val="005428ED"/>
    <w:rsid w:val="005453CD"/>
    <w:rsid w:val="00546023"/>
    <w:rsid w:val="005466AD"/>
    <w:rsid w:val="005542F1"/>
    <w:rsid w:val="00560FD0"/>
    <w:rsid w:val="00562855"/>
    <w:rsid w:val="00563DA8"/>
    <w:rsid w:val="00565B3F"/>
    <w:rsid w:val="00565BC0"/>
    <w:rsid w:val="005678FF"/>
    <w:rsid w:val="005712CD"/>
    <w:rsid w:val="00571D71"/>
    <w:rsid w:val="005727C0"/>
    <w:rsid w:val="005747BD"/>
    <w:rsid w:val="005756AC"/>
    <w:rsid w:val="00582BFE"/>
    <w:rsid w:val="00583E9C"/>
    <w:rsid w:val="00585071"/>
    <w:rsid w:val="005853F1"/>
    <w:rsid w:val="00585F71"/>
    <w:rsid w:val="00595106"/>
    <w:rsid w:val="005A52CF"/>
    <w:rsid w:val="005B272B"/>
    <w:rsid w:val="005B6EC7"/>
    <w:rsid w:val="005B7A80"/>
    <w:rsid w:val="005C0617"/>
    <w:rsid w:val="005C2CA9"/>
    <w:rsid w:val="005C7B87"/>
    <w:rsid w:val="005D03E9"/>
    <w:rsid w:val="005D0779"/>
    <w:rsid w:val="005D60E5"/>
    <w:rsid w:val="005D6829"/>
    <w:rsid w:val="005E154B"/>
    <w:rsid w:val="00600FF7"/>
    <w:rsid w:val="006013FC"/>
    <w:rsid w:val="006032B8"/>
    <w:rsid w:val="00603FD0"/>
    <w:rsid w:val="00604C25"/>
    <w:rsid w:val="00606425"/>
    <w:rsid w:val="00610A0D"/>
    <w:rsid w:val="00613372"/>
    <w:rsid w:val="006135AD"/>
    <w:rsid w:val="00613995"/>
    <w:rsid w:val="006170B5"/>
    <w:rsid w:val="0062011E"/>
    <w:rsid w:val="00623BD6"/>
    <w:rsid w:val="00627FE1"/>
    <w:rsid w:val="00635282"/>
    <w:rsid w:val="0064087E"/>
    <w:rsid w:val="00655E69"/>
    <w:rsid w:val="00656A92"/>
    <w:rsid w:val="0066120E"/>
    <w:rsid w:val="0066231E"/>
    <w:rsid w:val="00662457"/>
    <w:rsid w:val="00664130"/>
    <w:rsid w:val="006644B0"/>
    <w:rsid w:val="006722A5"/>
    <w:rsid w:val="00687C85"/>
    <w:rsid w:val="00693D0A"/>
    <w:rsid w:val="006A009E"/>
    <w:rsid w:val="006A6D7E"/>
    <w:rsid w:val="006A6D8E"/>
    <w:rsid w:val="006B7E4A"/>
    <w:rsid w:val="006C07E3"/>
    <w:rsid w:val="006C6EED"/>
    <w:rsid w:val="006C7246"/>
    <w:rsid w:val="006D1A53"/>
    <w:rsid w:val="006D348D"/>
    <w:rsid w:val="006D5B07"/>
    <w:rsid w:val="006D7F50"/>
    <w:rsid w:val="006E144D"/>
    <w:rsid w:val="006E194D"/>
    <w:rsid w:val="006E2ED3"/>
    <w:rsid w:val="006E6F25"/>
    <w:rsid w:val="006F0A66"/>
    <w:rsid w:val="006F1831"/>
    <w:rsid w:val="006F28DE"/>
    <w:rsid w:val="006F2CCA"/>
    <w:rsid w:val="006F5165"/>
    <w:rsid w:val="006F664D"/>
    <w:rsid w:val="006F74A5"/>
    <w:rsid w:val="007016FC"/>
    <w:rsid w:val="007027E8"/>
    <w:rsid w:val="00702D93"/>
    <w:rsid w:val="00703411"/>
    <w:rsid w:val="00703553"/>
    <w:rsid w:val="00704DF8"/>
    <w:rsid w:val="00705C06"/>
    <w:rsid w:val="00706852"/>
    <w:rsid w:val="007140E1"/>
    <w:rsid w:val="00715488"/>
    <w:rsid w:val="00720322"/>
    <w:rsid w:val="007213CB"/>
    <w:rsid w:val="00722C59"/>
    <w:rsid w:val="00725402"/>
    <w:rsid w:val="00726A64"/>
    <w:rsid w:val="007271E2"/>
    <w:rsid w:val="00735C77"/>
    <w:rsid w:val="00741E7D"/>
    <w:rsid w:val="00744A6F"/>
    <w:rsid w:val="00745595"/>
    <w:rsid w:val="007461EC"/>
    <w:rsid w:val="007468DE"/>
    <w:rsid w:val="00746E03"/>
    <w:rsid w:val="00747B78"/>
    <w:rsid w:val="007503A6"/>
    <w:rsid w:val="00751153"/>
    <w:rsid w:val="0075133A"/>
    <w:rsid w:val="00754EA9"/>
    <w:rsid w:val="00765ECA"/>
    <w:rsid w:val="0077060C"/>
    <w:rsid w:val="00772745"/>
    <w:rsid w:val="00774726"/>
    <w:rsid w:val="00781717"/>
    <w:rsid w:val="00782C3E"/>
    <w:rsid w:val="0078745D"/>
    <w:rsid w:val="00787FB8"/>
    <w:rsid w:val="00793B7D"/>
    <w:rsid w:val="007A2161"/>
    <w:rsid w:val="007A2AED"/>
    <w:rsid w:val="007A571E"/>
    <w:rsid w:val="007B6757"/>
    <w:rsid w:val="007B677A"/>
    <w:rsid w:val="007B7DCE"/>
    <w:rsid w:val="007C50E5"/>
    <w:rsid w:val="007C6EA0"/>
    <w:rsid w:val="007C79A0"/>
    <w:rsid w:val="007C7E18"/>
    <w:rsid w:val="007D062F"/>
    <w:rsid w:val="007D39F9"/>
    <w:rsid w:val="007D4CA7"/>
    <w:rsid w:val="007E3701"/>
    <w:rsid w:val="007E3768"/>
    <w:rsid w:val="007E46B1"/>
    <w:rsid w:val="007E4782"/>
    <w:rsid w:val="007E6438"/>
    <w:rsid w:val="007F0FB6"/>
    <w:rsid w:val="007F16BC"/>
    <w:rsid w:val="007F3FFA"/>
    <w:rsid w:val="007F4DEA"/>
    <w:rsid w:val="007F69F3"/>
    <w:rsid w:val="008017F8"/>
    <w:rsid w:val="00801EEA"/>
    <w:rsid w:val="00804614"/>
    <w:rsid w:val="00805026"/>
    <w:rsid w:val="008054AF"/>
    <w:rsid w:val="00812942"/>
    <w:rsid w:val="00817686"/>
    <w:rsid w:val="0082121D"/>
    <w:rsid w:val="00824495"/>
    <w:rsid w:val="00825482"/>
    <w:rsid w:val="00825AD9"/>
    <w:rsid w:val="00832AF7"/>
    <w:rsid w:val="0083697F"/>
    <w:rsid w:val="00836B91"/>
    <w:rsid w:val="00840A01"/>
    <w:rsid w:val="008455D9"/>
    <w:rsid w:val="008466F0"/>
    <w:rsid w:val="00854290"/>
    <w:rsid w:val="00855461"/>
    <w:rsid w:val="00864469"/>
    <w:rsid w:val="00871168"/>
    <w:rsid w:val="00872116"/>
    <w:rsid w:val="008745C5"/>
    <w:rsid w:val="00881AA6"/>
    <w:rsid w:val="00883CEB"/>
    <w:rsid w:val="00884A9A"/>
    <w:rsid w:val="00886E1A"/>
    <w:rsid w:val="00892A7C"/>
    <w:rsid w:val="00893875"/>
    <w:rsid w:val="008A0673"/>
    <w:rsid w:val="008A0725"/>
    <w:rsid w:val="008A0FDF"/>
    <w:rsid w:val="008A109B"/>
    <w:rsid w:val="008A1559"/>
    <w:rsid w:val="008A2300"/>
    <w:rsid w:val="008A7207"/>
    <w:rsid w:val="008A7FB1"/>
    <w:rsid w:val="008B5BDC"/>
    <w:rsid w:val="008B770C"/>
    <w:rsid w:val="008C004E"/>
    <w:rsid w:val="008C4684"/>
    <w:rsid w:val="008C5490"/>
    <w:rsid w:val="008C55BD"/>
    <w:rsid w:val="008C63B6"/>
    <w:rsid w:val="008D0FA6"/>
    <w:rsid w:val="008D2313"/>
    <w:rsid w:val="008E0FC1"/>
    <w:rsid w:val="008E239F"/>
    <w:rsid w:val="008E3F84"/>
    <w:rsid w:val="008E4987"/>
    <w:rsid w:val="008F7B1C"/>
    <w:rsid w:val="0090154D"/>
    <w:rsid w:val="00902FF7"/>
    <w:rsid w:val="009032D8"/>
    <w:rsid w:val="00905B12"/>
    <w:rsid w:val="0091278B"/>
    <w:rsid w:val="009133A8"/>
    <w:rsid w:val="009232E8"/>
    <w:rsid w:val="00923D90"/>
    <w:rsid w:val="0092496F"/>
    <w:rsid w:val="00926F5C"/>
    <w:rsid w:val="0094181D"/>
    <w:rsid w:val="00944E9D"/>
    <w:rsid w:val="00945D82"/>
    <w:rsid w:val="00946A9B"/>
    <w:rsid w:val="00950B32"/>
    <w:rsid w:val="009529D5"/>
    <w:rsid w:val="00960D32"/>
    <w:rsid w:val="0096399F"/>
    <w:rsid w:val="00965523"/>
    <w:rsid w:val="009679CA"/>
    <w:rsid w:val="00967D21"/>
    <w:rsid w:val="00970819"/>
    <w:rsid w:val="00970B41"/>
    <w:rsid w:val="009714AC"/>
    <w:rsid w:val="00972D1C"/>
    <w:rsid w:val="009809A4"/>
    <w:rsid w:val="00980E04"/>
    <w:rsid w:val="00981059"/>
    <w:rsid w:val="00981B7C"/>
    <w:rsid w:val="00983BAF"/>
    <w:rsid w:val="0098771D"/>
    <w:rsid w:val="00990AA6"/>
    <w:rsid w:val="009910CD"/>
    <w:rsid w:val="009A1018"/>
    <w:rsid w:val="009A324B"/>
    <w:rsid w:val="009A3D85"/>
    <w:rsid w:val="009A4AA4"/>
    <w:rsid w:val="009A55A3"/>
    <w:rsid w:val="009A5BD7"/>
    <w:rsid w:val="009A7770"/>
    <w:rsid w:val="009B4E33"/>
    <w:rsid w:val="009B7A78"/>
    <w:rsid w:val="009C0376"/>
    <w:rsid w:val="009C2310"/>
    <w:rsid w:val="009C234B"/>
    <w:rsid w:val="009C3E40"/>
    <w:rsid w:val="009D452D"/>
    <w:rsid w:val="009E01D9"/>
    <w:rsid w:val="009E241E"/>
    <w:rsid w:val="009E428A"/>
    <w:rsid w:val="009E7039"/>
    <w:rsid w:val="009F0BB1"/>
    <w:rsid w:val="00A0126E"/>
    <w:rsid w:val="00A03780"/>
    <w:rsid w:val="00A048B6"/>
    <w:rsid w:val="00A07151"/>
    <w:rsid w:val="00A17286"/>
    <w:rsid w:val="00A17D1B"/>
    <w:rsid w:val="00A200C6"/>
    <w:rsid w:val="00A22BCB"/>
    <w:rsid w:val="00A24093"/>
    <w:rsid w:val="00A3220B"/>
    <w:rsid w:val="00A36DA0"/>
    <w:rsid w:val="00A43266"/>
    <w:rsid w:val="00A478CB"/>
    <w:rsid w:val="00A51869"/>
    <w:rsid w:val="00A547BE"/>
    <w:rsid w:val="00A54D4A"/>
    <w:rsid w:val="00A551EE"/>
    <w:rsid w:val="00A552AB"/>
    <w:rsid w:val="00A621BB"/>
    <w:rsid w:val="00A63B9A"/>
    <w:rsid w:val="00A642DB"/>
    <w:rsid w:val="00A64C0A"/>
    <w:rsid w:val="00A661A1"/>
    <w:rsid w:val="00A67ABA"/>
    <w:rsid w:val="00A75CE7"/>
    <w:rsid w:val="00A806E4"/>
    <w:rsid w:val="00A81BE6"/>
    <w:rsid w:val="00A90088"/>
    <w:rsid w:val="00A90814"/>
    <w:rsid w:val="00A90FB0"/>
    <w:rsid w:val="00A9121D"/>
    <w:rsid w:val="00A91ED6"/>
    <w:rsid w:val="00A924CC"/>
    <w:rsid w:val="00AA2239"/>
    <w:rsid w:val="00AB2970"/>
    <w:rsid w:val="00AC69E1"/>
    <w:rsid w:val="00AD0D32"/>
    <w:rsid w:val="00AD5306"/>
    <w:rsid w:val="00AF5B18"/>
    <w:rsid w:val="00AF6C7F"/>
    <w:rsid w:val="00B01FB9"/>
    <w:rsid w:val="00B03FA3"/>
    <w:rsid w:val="00B07D2F"/>
    <w:rsid w:val="00B13E32"/>
    <w:rsid w:val="00B141B2"/>
    <w:rsid w:val="00B17438"/>
    <w:rsid w:val="00B17444"/>
    <w:rsid w:val="00B238FA"/>
    <w:rsid w:val="00B24C21"/>
    <w:rsid w:val="00B276E4"/>
    <w:rsid w:val="00B33F85"/>
    <w:rsid w:val="00B357EC"/>
    <w:rsid w:val="00B407A1"/>
    <w:rsid w:val="00B41266"/>
    <w:rsid w:val="00B41D37"/>
    <w:rsid w:val="00B420E5"/>
    <w:rsid w:val="00B42848"/>
    <w:rsid w:val="00B430F1"/>
    <w:rsid w:val="00B45A54"/>
    <w:rsid w:val="00B45CF2"/>
    <w:rsid w:val="00B5163B"/>
    <w:rsid w:val="00B52215"/>
    <w:rsid w:val="00B528F9"/>
    <w:rsid w:val="00B532CD"/>
    <w:rsid w:val="00B5353F"/>
    <w:rsid w:val="00B549FD"/>
    <w:rsid w:val="00B56DBE"/>
    <w:rsid w:val="00B6280B"/>
    <w:rsid w:val="00B64E4A"/>
    <w:rsid w:val="00B6641D"/>
    <w:rsid w:val="00B675F4"/>
    <w:rsid w:val="00B7163F"/>
    <w:rsid w:val="00B7492E"/>
    <w:rsid w:val="00B7728E"/>
    <w:rsid w:val="00B846E5"/>
    <w:rsid w:val="00B90C5F"/>
    <w:rsid w:val="00B9608F"/>
    <w:rsid w:val="00BA0C8F"/>
    <w:rsid w:val="00BA1CAD"/>
    <w:rsid w:val="00BA48E5"/>
    <w:rsid w:val="00BA4AE2"/>
    <w:rsid w:val="00BA5DA4"/>
    <w:rsid w:val="00BB63E5"/>
    <w:rsid w:val="00BC0CC0"/>
    <w:rsid w:val="00BC4EF1"/>
    <w:rsid w:val="00BC64E8"/>
    <w:rsid w:val="00BC7F08"/>
    <w:rsid w:val="00BD4C40"/>
    <w:rsid w:val="00BE140B"/>
    <w:rsid w:val="00BE27DB"/>
    <w:rsid w:val="00BE548A"/>
    <w:rsid w:val="00BE5C06"/>
    <w:rsid w:val="00BF05E4"/>
    <w:rsid w:val="00BF15C2"/>
    <w:rsid w:val="00BF1EDA"/>
    <w:rsid w:val="00BF21C7"/>
    <w:rsid w:val="00BF250A"/>
    <w:rsid w:val="00BF285E"/>
    <w:rsid w:val="00BF2F46"/>
    <w:rsid w:val="00BF354C"/>
    <w:rsid w:val="00BF430F"/>
    <w:rsid w:val="00BF7A54"/>
    <w:rsid w:val="00BF7A81"/>
    <w:rsid w:val="00BF7CA9"/>
    <w:rsid w:val="00C01224"/>
    <w:rsid w:val="00C05921"/>
    <w:rsid w:val="00C11150"/>
    <w:rsid w:val="00C12248"/>
    <w:rsid w:val="00C15EB2"/>
    <w:rsid w:val="00C202D9"/>
    <w:rsid w:val="00C20785"/>
    <w:rsid w:val="00C23558"/>
    <w:rsid w:val="00C244E4"/>
    <w:rsid w:val="00C31E0F"/>
    <w:rsid w:val="00C35B7E"/>
    <w:rsid w:val="00C50A12"/>
    <w:rsid w:val="00C55528"/>
    <w:rsid w:val="00C67DD6"/>
    <w:rsid w:val="00C73133"/>
    <w:rsid w:val="00C7322F"/>
    <w:rsid w:val="00C765E0"/>
    <w:rsid w:val="00C768C2"/>
    <w:rsid w:val="00C8653A"/>
    <w:rsid w:val="00C925B3"/>
    <w:rsid w:val="00C937A8"/>
    <w:rsid w:val="00C940D0"/>
    <w:rsid w:val="00CA2956"/>
    <w:rsid w:val="00CA33AD"/>
    <w:rsid w:val="00CA47CA"/>
    <w:rsid w:val="00CA4F5B"/>
    <w:rsid w:val="00CA6194"/>
    <w:rsid w:val="00CB1B68"/>
    <w:rsid w:val="00CB754D"/>
    <w:rsid w:val="00CB7C00"/>
    <w:rsid w:val="00CC5797"/>
    <w:rsid w:val="00CC5A26"/>
    <w:rsid w:val="00CD0EB3"/>
    <w:rsid w:val="00CD15B5"/>
    <w:rsid w:val="00CD62FC"/>
    <w:rsid w:val="00CF036B"/>
    <w:rsid w:val="00CF051D"/>
    <w:rsid w:val="00D01E7C"/>
    <w:rsid w:val="00D04FE6"/>
    <w:rsid w:val="00D059DB"/>
    <w:rsid w:val="00D061AE"/>
    <w:rsid w:val="00D1044B"/>
    <w:rsid w:val="00D14074"/>
    <w:rsid w:val="00D27B6F"/>
    <w:rsid w:val="00D3042F"/>
    <w:rsid w:val="00D320B2"/>
    <w:rsid w:val="00D374E3"/>
    <w:rsid w:val="00D404CA"/>
    <w:rsid w:val="00D455CB"/>
    <w:rsid w:val="00D56734"/>
    <w:rsid w:val="00D56A8C"/>
    <w:rsid w:val="00D61549"/>
    <w:rsid w:val="00D72B55"/>
    <w:rsid w:val="00D75392"/>
    <w:rsid w:val="00D80554"/>
    <w:rsid w:val="00D861C4"/>
    <w:rsid w:val="00D87445"/>
    <w:rsid w:val="00D879BB"/>
    <w:rsid w:val="00D9130D"/>
    <w:rsid w:val="00D930A4"/>
    <w:rsid w:val="00DA0E39"/>
    <w:rsid w:val="00DA32E9"/>
    <w:rsid w:val="00DA494D"/>
    <w:rsid w:val="00DA72F4"/>
    <w:rsid w:val="00DA75D1"/>
    <w:rsid w:val="00DA7D8F"/>
    <w:rsid w:val="00DB175C"/>
    <w:rsid w:val="00DB22D0"/>
    <w:rsid w:val="00DB5710"/>
    <w:rsid w:val="00DB60A0"/>
    <w:rsid w:val="00DB6718"/>
    <w:rsid w:val="00DC0C5A"/>
    <w:rsid w:val="00DC1870"/>
    <w:rsid w:val="00DC2FB4"/>
    <w:rsid w:val="00DC4491"/>
    <w:rsid w:val="00DD07A6"/>
    <w:rsid w:val="00DD6A44"/>
    <w:rsid w:val="00DD7325"/>
    <w:rsid w:val="00DE2B49"/>
    <w:rsid w:val="00DE3D7A"/>
    <w:rsid w:val="00DE47C2"/>
    <w:rsid w:val="00DE56B9"/>
    <w:rsid w:val="00DE735F"/>
    <w:rsid w:val="00DF439F"/>
    <w:rsid w:val="00DF446A"/>
    <w:rsid w:val="00E0384E"/>
    <w:rsid w:val="00E11F74"/>
    <w:rsid w:val="00E252B1"/>
    <w:rsid w:val="00E25AAC"/>
    <w:rsid w:val="00E3093D"/>
    <w:rsid w:val="00E32A58"/>
    <w:rsid w:val="00E32F03"/>
    <w:rsid w:val="00E367E6"/>
    <w:rsid w:val="00E3719E"/>
    <w:rsid w:val="00E424EF"/>
    <w:rsid w:val="00E440F2"/>
    <w:rsid w:val="00E44C28"/>
    <w:rsid w:val="00E45BA8"/>
    <w:rsid w:val="00E46418"/>
    <w:rsid w:val="00E50A4F"/>
    <w:rsid w:val="00E533BD"/>
    <w:rsid w:val="00E55E92"/>
    <w:rsid w:val="00E71082"/>
    <w:rsid w:val="00E72209"/>
    <w:rsid w:val="00E73303"/>
    <w:rsid w:val="00E76B9E"/>
    <w:rsid w:val="00E80F52"/>
    <w:rsid w:val="00E84E26"/>
    <w:rsid w:val="00E90ECC"/>
    <w:rsid w:val="00EA18AB"/>
    <w:rsid w:val="00EA269B"/>
    <w:rsid w:val="00EA316E"/>
    <w:rsid w:val="00EA3946"/>
    <w:rsid w:val="00EA5612"/>
    <w:rsid w:val="00EA6B8B"/>
    <w:rsid w:val="00EB75E3"/>
    <w:rsid w:val="00EC10B9"/>
    <w:rsid w:val="00EC54A4"/>
    <w:rsid w:val="00ED4744"/>
    <w:rsid w:val="00ED61B2"/>
    <w:rsid w:val="00ED6CE9"/>
    <w:rsid w:val="00EE1DB2"/>
    <w:rsid w:val="00EE7907"/>
    <w:rsid w:val="00EF0383"/>
    <w:rsid w:val="00EF5278"/>
    <w:rsid w:val="00F00558"/>
    <w:rsid w:val="00F009B8"/>
    <w:rsid w:val="00F0217E"/>
    <w:rsid w:val="00F06239"/>
    <w:rsid w:val="00F06678"/>
    <w:rsid w:val="00F07241"/>
    <w:rsid w:val="00F10CA1"/>
    <w:rsid w:val="00F1522F"/>
    <w:rsid w:val="00F17553"/>
    <w:rsid w:val="00F21411"/>
    <w:rsid w:val="00F21D5E"/>
    <w:rsid w:val="00F2311C"/>
    <w:rsid w:val="00F27BE9"/>
    <w:rsid w:val="00F27DDC"/>
    <w:rsid w:val="00F32849"/>
    <w:rsid w:val="00F342C3"/>
    <w:rsid w:val="00F354EF"/>
    <w:rsid w:val="00F41972"/>
    <w:rsid w:val="00F424F0"/>
    <w:rsid w:val="00F52BC1"/>
    <w:rsid w:val="00F540C5"/>
    <w:rsid w:val="00F548A5"/>
    <w:rsid w:val="00F57CF9"/>
    <w:rsid w:val="00F60350"/>
    <w:rsid w:val="00F60C6C"/>
    <w:rsid w:val="00F6547E"/>
    <w:rsid w:val="00F65EC8"/>
    <w:rsid w:val="00F67456"/>
    <w:rsid w:val="00F72030"/>
    <w:rsid w:val="00F730EE"/>
    <w:rsid w:val="00F9538E"/>
    <w:rsid w:val="00F95822"/>
    <w:rsid w:val="00F96D36"/>
    <w:rsid w:val="00FA42CC"/>
    <w:rsid w:val="00FA45CA"/>
    <w:rsid w:val="00FA5828"/>
    <w:rsid w:val="00FB1774"/>
    <w:rsid w:val="00FB40F8"/>
    <w:rsid w:val="00FB5781"/>
    <w:rsid w:val="00FB68C2"/>
    <w:rsid w:val="00FB7A20"/>
    <w:rsid w:val="00FC1DFB"/>
    <w:rsid w:val="00FC6E67"/>
    <w:rsid w:val="00FC7149"/>
    <w:rsid w:val="00FD203F"/>
    <w:rsid w:val="00FD5C22"/>
    <w:rsid w:val="00FE3D1C"/>
    <w:rsid w:val="00FE4A9A"/>
    <w:rsid w:val="00FF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EF5DA"/>
  <w15:chartTrackingRefBased/>
  <w15:docId w15:val="{F36E7F9C-64BC-455F-93AF-CCB032D68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4647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33BD"/>
  </w:style>
  <w:style w:type="paragraph" w:styleId="Stopka">
    <w:name w:val="footer"/>
    <w:basedOn w:val="Normalny"/>
    <w:link w:val="StopkaZnak"/>
    <w:uiPriority w:val="99"/>
    <w:unhideWhenUsed/>
    <w:rsid w:val="00E5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33BD"/>
  </w:style>
  <w:style w:type="paragraph" w:styleId="NormalnyWeb">
    <w:name w:val="Normal (Web)"/>
    <w:basedOn w:val="Normalny"/>
    <w:uiPriority w:val="99"/>
    <w:unhideWhenUsed/>
    <w:rsid w:val="0027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7120F"/>
    <w:rPr>
      <w:color w:val="0000FF"/>
      <w:u w:val="single"/>
    </w:rPr>
  </w:style>
  <w:style w:type="character" w:customStyle="1" w:styleId="hgkelc">
    <w:name w:val="hgkelc"/>
    <w:basedOn w:val="Domylnaczcionkaakapitu"/>
    <w:rsid w:val="00E3719E"/>
  </w:style>
  <w:style w:type="character" w:styleId="Pogrubienie">
    <w:name w:val="Strong"/>
    <w:basedOn w:val="Domylnaczcionkaakapitu"/>
    <w:uiPriority w:val="22"/>
    <w:qFormat/>
    <w:rsid w:val="004C4395"/>
    <w:rPr>
      <w:b/>
      <w:bCs/>
    </w:rPr>
  </w:style>
  <w:style w:type="paragraph" w:styleId="Bezodstpw">
    <w:name w:val="No Spacing"/>
    <w:uiPriority w:val="1"/>
    <w:qFormat/>
    <w:rsid w:val="00F27BE9"/>
    <w:pPr>
      <w:spacing w:after="0" w:line="240" w:lineRule="auto"/>
    </w:pPr>
  </w:style>
  <w:style w:type="paragraph" w:customStyle="1" w:styleId="Textbody">
    <w:name w:val="Text body"/>
    <w:basedOn w:val="Normalny"/>
    <w:rsid w:val="00571D71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D75392"/>
    <w:pPr>
      <w:spacing w:after="0" w:line="240" w:lineRule="auto"/>
      <w:ind w:left="720"/>
      <w:contextualSpacing/>
    </w:pPr>
    <w:rPr>
      <w:rFonts w:ascii="Calibri" w:hAnsi="Calibri" w:cs="Calibri"/>
      <w:lang w:eastAsia="pl-PL"/>
    </w:rPr>
  </w:style>
  <w:style w:type="character" w:styleId="Uwydatnienie">
    <w:name w:val="Emphasis"/>
    <w:basedOn w:val="Domylnaczcionkaakapitu"/>
    <w:uiPriority w:val="20"/>
    <w:qFormat/>
    <w:rsid w:val="000E427E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4647D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custom-1oer2oc">
    <w:name w:val="custom-1oer2oc"/>
    <w:basedOn w:val="Normalny"/>
    <w:rsid w:val="00464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B7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B7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7B78"/>
    <w:rPr>
      <w:vertAlign w:val="superscript"/>
    </w:rPr>
  </w:style>
  <w:style w:type="paragraph" w:customStyle="1" w:styleId="Tretekstu">
    <w:name w:val="Tre?? tekstu"/>
    <w:basedOn w:val="Normalny"/>
    <w:uiPriority w:val="99"/>
    <w:unhideWhenUsed/>
    <w:rsid w:val="0070355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01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ynekpierwotny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5A948-74EE-46C4-AA71-52FAB671F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4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Kazimierczak</dc:creator>
  <cp:keywords/>
  <dc:description/>
  <cp:lastModifiedBy>Mikołaj Ostrowski</cp:lastModifiedBy>
  <cp:revision>38</cp:revision>
  <cp:lastPrinted>2024-03-11T12:14:00Z</cp:lastPrinted>
  <dcterms:created xsi:type="dcterms:W3CDTF">2025-02-05T11:10:00Z</dcterms:created>
  <dcterms:modified xsi:type="dcterms:W3CDTF">2025-03-13T13:32:00Z</dcterms:modified>
</cp:coreProperties>
</file>